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E1FD" w14:textId="3583B332" w:rsidR="00D1628F" w:rsidRPr="00D1628F" w:rsidRDefault="00D1628F" w:rsidP="00C611DE">
      <w:pPr>
        <w:pStyle w:val="Untertitel"/>
      </w:pPr>
      <w:r w:rsidRPr="00D1628F">
        <w:t xml:space="preserve">Meldeformular: Systemversagen &amp; </w:t>
      </w:r>
      <w:r>
        <w:t>i</w:t>
      </w:r>
      <w:r w:rsidRPr="00D1628F">
        <w:t xml:space="preserve">nstitutionelle Gewalt in </w:t>
      </w:r>
      <w:r>
        <w:t>Familien</w:t>
      </w:r>
      <w:r w:rsidR="00C611DE">
        <w:t>gerichts</w:t>
      </w:r>
      <w:r>
        <w:t>- und Pflegschafts</w:t>
      </w:r>
      <w:r w:rsidRPr="00D1628F">
        <w:t>verfahren</w:t>
      </w:r>
    </w:p>
    <w:p w14:paraId="04296ED8" w14:textId="0CE82618" w:rsidR="00D1628F" w:rsidRDefault="00D1628F" w:rsidP="00D1628F">
      <w:r w:rsidRPr="00D1628F">
        <w:t>Dieses Formular dient der Erfassung und völkerrechtlichen Dokumentation von strukturellem Versagen in Kindschafts</w:t>
      </w:r>
      <w:r>
        <w:t>-/Pflegschafts</w:t>
      </w:r>
      <w:r w:rsidRPr="00D1628F">
        <w:t xml:space="preserve">sachen. </w:t>
      </w:r>
      <w:r w:rsidR="00C611DE" w:rsidRPr="00C611DE">
        <w:t>Es erfasst die Mechanismen, durch die das Rechtssystem Gewaltverhältnisse zementiert und Schutzbedürftige (Mütter und Kinder) prozessual benachteiligt</w:t>
      </w:r>
      <w:r w:rsidRPr="00D1628F">
        <w:t>.</w:t>
      </w:r>
    </w:p>
    <w:p w14:paraId="01EDD449" w14:textId="75D47417" w:rsidR="00980832" w:rsidRDefault="00980832" w:rsidP="00D1628F">
      <w:r w:rsidRPr="00980832">
        <w:rPr>
          <w:b/>
          <w:bCs/>
        </w:rPr>
        <w:t>Wichtig:</w:t>
      </w:r>
      <w:r>
        <w:t xml:space="preserve"> </w:t>
      </w:r>
      <w:r w:rsidRPr="00980832">
        <w:t>Sollten Sie bestimmte Details wie das exakte Gericht</w:t>
      </w:r>
      <w:r>
        <w:t xml:space="preserve">, </w:t>
      </w:r>
      <w:r w:rsidRPr="00980832">
        <w:t xml:space="preserve">das Aktenzeichen </w:t>
      </w:r>
      <w:r>
        <w:t xml:space="preserve">oder einzelne Namen </w:t>
      </w:r>
      <w:r w:rsidRPr="00980832">
        <w:t>nicht nennen wollen, ist dies vollkommen in Ordnung; bitte füllen Sie nur die Felder aus, deren Beantwortung Ihnen wichtig erscheint und bei denen Sie sich sicher fühlen. Selbst wenn dies dazu führt, dass uns unzusammenhängende Berichte erreichen, so dokumentieren diese doch eines ganz deutlich: dass die Angst vor Repressalien oft schwerer wiegt als das Vertrauen in das System. Wir werden auch diese fragmentarischen Meldungen nutzen, um statistisch aufzuzeigen, wie viele Frauen uns ihre Erfahrungen geschickt haben und welche spezifischen Formen institutioneller Gewalt sie im deutschsprachigen Raum erleben. Jede Stimme zählt, um das Ausmaß des strukturellen Schutzversagens sichtbar zu machen</w:t>
      </w:r>
    </w:p>
    <w:p w14:paraId="2D6AD0CE" w14:textId="496C1CA9" w:rsidR="00AD18A9" w:rsidRPr="00AD18A9" w:rsidRDefault="00AD18A9" w:rsidP="00D1628F">
      <w:pPr>
        <w:rPr>
          <w:b/>
          <w:bCs/>
        </w:rPr>
      </w:pPr>
      <w:r w:rsidRPr="00AD18A9">
        <w:rPr>
          <w:b/>
          <w:bCs/>
        </w:rPr>
        <w:t>Ausfüllhilfe: Bitte Zutreffendes mittels „x“ kennzeichnen.</w:t>
      </w:r>
    </w:p>
    <w:p w14:paraId="19FB87C2" w14:textId="77777777" w:rsidR="00D1628F" w:rsidRPr="00D1628F" w:rsidRDefault="00000000" w:rsidP="00D1628F">
      <w:r>
        <w:pict w14:anchorId="46258BE9">
          <v:rect id="_x0000_i1026" style="width:0;height:1.5pt" o:hralign="center" o:hrstd="t" o:hr="t" fillcolor="#a0a0a0" stroked="f"/>
        </w:pict>
      </w:r>
    </w:p>
    <w:p w14:paraId="6193DEE3" w14:textId="7732C9D2" w:rsidR="00D1628F" w:rsidRDefault="00D1628F" w:rsidP="00C611DE">
      <w:pPr>
        <w:pStyle w:val="Untertitel"/>
      </w:pPr>
      <w:r w:rsidRPr="00D1628F">
        <w:t>1. Rechtliche</w:t>
      </w:r>
      <w:r w:rsidR="00C611DE">
        <w:t>s</w:t>
      </w:r>
      <w:r w:rsidRPr="00D1628F">
        <w:t xml:space="preserve"> &amp; Datenschutz</w:t>
      </w:r>
    </w:p>
    <w:p w14:paraId="65D8ED26" w14:textId="49DF871E" w:rsidR="00D1628F" w:rsidRPr="00D1628F" w:rsidRDefault="00D1628F" w:rsidP="00D1628F">
      <w:pPr>
        <w:numPr>
          <w:ilvl w:val="0"/>
          <w:numId w:val="20"/>
        </w:numPr>
      </w:pPr>
      <w:r w:rsidRPr="00D1628F">
        <w:rPr>
          <w:b/>
          <w:bCs/>
        </w:rPr>
        <w:t>Löschungsrecht &amp; Anonymität:</w:t>
      </w:r>
      <w:r w:rsidRPr="00D1628F">
        <w:t xml:space="preserve"> Notieren Sie sich Ihr individuelles Codewort und fünf Ziffern (z. B. Mut29384), um </w:t>
      </w:r>
      <w:r>
        <w:t>bei Bedarf</w:t>
      </w:r>
      <w:r w:rsidRPr="00D1628F">
        <w:t xml:space="preserve"> eine Löschung </w:t>
      </w:r>
      <w:r>
        <w:t xml:space="preserve">Ihrer Einsendung </w:t>
      </w:r>
      <w:r w:rsidRPr="00D1628F">
        <w:t>ohne Identitätsnachweis zu veranlassen: __________________.</w:t>
      </w:r>
    </w:p>
    <w:p w14:paraId="4E0EBD25" w14:textId="77777777" w:rsidR="00D1628F" w:rsidRPr="00D1628F" w:rsidRDefault="00D1628F" w:rsidP="00D1628F">
      <w:pPr>
        <w:numPr>
          <w:ilvl w:val="0"/>
          <w:numId w:val="20"/>
        </w:numPr>
      </w:pPr>
      <w:proofErr w:type="gramStart"/>
      <w:r w:rsidRPr="00D1628F">
        <w:rPr>
          <w:b/>
          <w:bCs/>
        </w:rPr>
        <w:t>[ ]</w:t>
      </w:r>
      <w:proofErr w:type="gramEnd"/>
      <w:r w:rsidRPr="00D1628F">
        <w:rPr>
          <w:b/>
          <w:bCs/>
        </w:rPr>
        <w:t xml:space="preserve"> Wahrheitsgehalt:</w:t>
      </w:r>
      <w:r w:rsidRPr="00D1628F">
        <w:t xml:space="preserve"> Ich bestätige, dass alle Angaben nach bestem Wissen der Wahrheit entsprechen und sachlich fundiert sind.</w:t>
      </w:r>
    </w:p>
    <w:p w14:paraId="267B1553" w14:textId="626D8A88" w:rsidR="00D1628F" w:rsidRPr="00D1628F" w:rsidRDefault="00D1628F" w:rsidP="00D1628F">
      <w:pPr>
        <w:numPr>
          <w:ilvl w:val="0"/>
          <w:numId w:val="20"/>
        </w:numPr>
      </w:pPr>
      <w:proofErr w:type="gramStart"/>
      <w:r w:rsidRPr="00D1628F">
        <w:rPr>
          <w:b/>
          <w:bCs/>
        </w:rPr>
        <w:t>[ ]</w:t>
      </w:r>
      <w:proofErr w:type="gramEnd"/>
      <w:r w:rsidRPr="00D1628F">
        <w:rPr>
          <w:b/>
          <w:bCs/>
        </w:rPr>
        <w:t xml:space="preserve"> Keine Rechtsberatung:</w:t>
      </w:r>
      <w:r w:rsidRPr="00D1628F">
        <w:t xml:space="preserve"> Ich erkenne an, dass dieser Bogen </w:t>
      </w:r>
      <w:r>
        <w:t xml:space="preserve">und „die </w:t>
      </w:r>
      <w:proofErr w:type="spellStart"/>
      <w:r>
        <w:t>furien</w:t>
      </w:r>
      <w:proofErr w:type="spellEnd"/>
      <w:r>
        <w:t xml:space="preserve">“ </w:t>
      </w:r>
      <w:r w:rsidRPr="00D1628F">
        <w:t>der Dokumentation dien</w:t>
      </w:r>
      <w:r>
        <w:t>en</w:t>
      </w:r>
      <w:r w:rsidRPr="00D1628F">
        <w:t xml:space="preserve"> und keine individuelle Rechtsberatung ersetz</w:t>
      </w:r>
      <w:r>
        <w:t>en</w:t>
      </w:r>
      <w:r w:rsidRPr="00D1628F">
        <w:t>.</w:t>
      </w:r>
    </w:p>
    <w:p w14:paraId="5AEDE5AC" w14:textId="77777777" w:rsidR="00D1628F" w:rsidRPr="00D1628F" w:rsidRDefault="00D1628F" w:rsidP="00D1628F">
      <w:pPr>
        <w:numPr>
          <w:ilvl w:val="0"/>
          <w:numId w:val="20"/>
        </w:numPr>
      </w:pPr>
      <w:proofErr w:type="gramStart"/>
      <w:r w:rsidRPr="00D1628F">
        <w:rPr>
          <w:b/>
          <w:bCs/>
        </w:rPr>
        <w:t>[ ]</w:t>
      </w:r>
      <w:proofErr w:type="gramEnd"/>
      <w:r w:rsidRPr="00D1628F">
        <w:rPr>
          <w:b/>
          <w:bCs/>
        </w:rPr>
        <w:t xml:space="preserve"> Datennutzung (Art. 9 DSGVO):</w:t>
      </w:r>
      <w:r w:rsidRPr="00D1628F">
        <w:t xml:space="preserve"> Ich willige ausdrücklich in die Verarbeitung sensibler Daten (Gewalterfahrungen, Gesundheitsdaten) zum Zweck der statistischen Analyse und Erstellung von Schattenberichten ein.</w:t>
      </w:r>
    </w:p>
    <w:p w14:paraId="7390CD20" w14:textId="092B3C31" w:rsidR="00D1628F" w:rsidRPr="00D1628F" w:rsidRDefault="00D1628F" w:rsidP="00D1628F">
      <w:pPr>
        <w:numPr>
          <w:ilvl w:val="0"/>
          <w:numId w:val="20"/>
        </w:numPr>
      </w:pPr>
      <w:proofErr w:type="gramStart"/>
      <w:r w:rsidRPr="00D1628F">
        <w:rPr>
          <w:b/>
          <w:bCs/>
        </w:rPr>
        <w:t>[ ]</w:t>
      </w:r>
      <w:proofErr w:type="gramEnd"/>
      <w:r w:rsidRPr="00D1628F">
        <w:rPr>
          <w:b/>
          <w:bCs/>
        </w:rPr>
        <w:t xml:space="preserve"> (</w:t>
      </w:r>
      <w:r>
        <w:rPr>
          <w:b/>
          <w:bCs/>
        </w:rPr>
        <w:t>o</w:t>
      </w:r>
      <w:r w:rsidRPr="00D1628F">
        <w:rPr>
          <w:b/>
          <w:bCs/>
        </w:rPr>
        <w:t>ptional) Veröffentlichung:</w:t>
      </w:r>
      <w:r w:rsidRPr="00D1628F">
        <w:t xml:space="preserve"> Ich stimme der vollständig anonymisierten Veröffentlichung prägnanter Passagen auf diefurien.org oder Instagram</w:t>
      </w:r>
      <w:r>
        <w:t xml:space="preserve"> (@diefurien)</w:t>
      </w:r>
      <w:r w:rsidRPr="00D1628F">
        <w:t xml:space="preserve"> zu.</w:t>
      </w:r>
    </w:p>
    <w:p w14:paraId="151A3612" w14:textId="789F7043" w:rsidR="00D1628F" w:rsidRPr="00D1628F" w:rsidRDefault="00D1628F" w:rsidP="00D1628F">
      <w:pPr>
        <w:numPr>
          <w:ilvl w:val="0"/>
          <w:numId w:val="20"/>
        </w:numPr>
      </w:pPr>
      <w:proofErr w:type="gramStart"/>
      <w:r w:rsidRPr="00D1628F">
        <w:rPr>
          <w:b/>
          <w:bCs/>
        </w:rPr>
        <w:t>[ ]</w:t>
      </w:r>
      <w:proofErr w:type="gramEnd"/>
      <w:r w:rsidRPr="00D1628F">
        <w:rPr>
          <w:b/>
          <w:bCs/>
        </w:rPr>
        <w:t xml:space="preserve"> (</w:t>
      </w:r>
      <w:r>
        <w:rPr>
          <w:b/>
          <w:bCs/>
        </w:rPr>
        <w:t>o</w:t>
      </w:r>
      <w:r w:rsidRPr="00D1628F">
        <w:rPr>
          <w:b/>
          <w:bCs/>
        </w:rPr>
        <w:t>ptional) Vernetzung:</w:t>
      </w:r>
      <w:r w:rsidRPr="00D1628F">
        <w:t xml:space="preserve"> Ich wünsche eine geschützte Kontaktaufnahme zur Vernetzung, falls systemische Häufungen bei </w:t>
      </w:r>
      <w:r>
        <w:t>den von mir genannten</w:t>
      </w:r>
      <w:r w:rsidRPr="00D1628F">
        <w:t xml:space="preserve"> </w:t>
      </w:r>
      <w:proofErr w:type="spellStart"/>
      <w:proofErr w:type="gramStart"/>
      <w:r w:rsidRPr="00D1628F">
        <w:t>Akteur</w:t>
      </w:r>
      <w:r>
        <w:t>:inn</w:t>
      </w:r>
      <w:r w:rsidRPr="00D1628F">
        <w:t>en</w:t>
      </w:r>
      <w:proofErr w:type="spellEnd"/>
      <w:proofErr w:type="gramEnd"/>
      <w:r w:rsidRPr="00D1628F">
        <w:t xml:space="preserve"> identifiziert werden.</w:t>
      </w:r>
    </w:p>
    <w:p w14:paraId="088B3025" w14:textId="77777777" w:rsidR="00D1628F" w:rsidRPr="00D1628F" w:rsidRDefault="00000000" w:rsidP="00D1628F">
      <w:r>
        <w:pict w14:anchorId="29754103">
          <v:rect id="_x0000_i1027" style="width:0;height:1.5pt" o:hralign="center" o:hrstd="t" o:hr="t" fillcolor="#a0a0a0" stroked="f"/>
        </w:pict>
      </w:r>
    </w:p>
    <w:p w14:paraId="5EC2BBBA" w14:textId="187E5078" w:rsidR="00D1628F" w:rsidRDefault="00D1628F" w:rsidP="00C611DE">
      <w:pPr>
        <w:pStyle w:val="Untertitel"/>
      </w:pPr>
      <w:r w:rsidRPr="00D1628F">
        <w:t>2. Stamm</w:t>
      </w:r>
      <w:r>
        <w:t xml:space="preserve">- und </w:t>
      </w:r>
      <w:proofErr w:type="spellStart"/>
      <w:proofErr w:type="gramStart"/>
      <w:r>
        <w:t>Akteur:innen</w:t>
      </w:r>
      <w:r w:rsidRPr="00D1628F">
        <w:t>daten</w:t>
      </w:r>
      <w:proofErr w:type="spellEnd"/>
      <w:proofErr w:type="gramEnd"/>
    </w:p>
    <w:p w14:paraId="0669107E" w14:textId="77777777" w:rsidR="00D1628F" w:rsidRPr="00D1628F" w:rsidRDefault="00D1628F" w:rsidP="00D1628F">
      <w:r w:rsidRPr="00D1628F">
        <w:rPr>
          <w:i/>
          <w:iCs/>
        </w:rPr>
        <w:t>Diese Daten dienen der Identifikation von Netzwerken und strukturellen Häufungen. Namen werden niemals veröffentlicht.</w:t>
      </w:r>
    </w:p>
    <w:p w14:paraId="65FD8D81" w14:textId="6F54A812" w:rsidR="00D1628F" w:rsidRPr="00D1628F" w:rsidRDefault="00D1628F" w:rsidP="00D1628F">
      <w:pPr>
        <w:pStyle w:val="Listenabsatz"/>
        <w:numPr>
          <w:ilvl w:val="0"/>
          <w:numId w:val="21"/>
        </w:numPr>
        <w:rPr>
          <w:b/>
          <w:bCs/>
        </w:rPr>
      </w:pPr>
      <w:r>
        <w:rPr>
          <w:b/>
          <w:bCs/>
        </w:rPr>
        <w:t>Staat &amp; Bundesland/Kanton/Gemeinde</w:t>
      </w:r>
      <w:r w:rsidRPr="00D1628F">
        <w:rPr>
          <w:b/>
          <w:bCs/>
        </w:rPr>
        <w:t xml:space="preserve">: </w:t>
      </w:r>
      <w:r w:rsidRPr="00D1628F">
        <w:t>___________________________</w:t>
      </w:r>
      <w:r w:rsidRPr="00D1628F">
        <w:rPr>
          <w:b/>
          <w:bCs/>
        </w:rPr>
        <w:t xml:space="preserve"> </w:t>
      </w:r>
    </w:p>
    <w:p w14:paraId="07AA731D" w14:textId="3D0FDA9C" w:rsidR="00D1628F" w:rsidRPr="00D1628F" w:rsidRDefault="00D1628F" w:rsidP="00D1628F">
      <w:pPr>
        <w:numPr>
          <w:ilvl w:val="0"/>
          <w:numId w:val="21"/>
        </w:numPr>
      </w:pPr>
      <w:r w:rsidRPr="00D1628F">
        <w:rPr>
          <w:b/>
          <w:bCs/>
        </w:rPr>
        <w:t>Zuständiges Gericht &amp; Abteilung:</w:t>
      </w:r>
      <w:r w:rsidRPr="00D1628F">
        <w:t xml:space="preserve"> ___________________________ </w:t>
      </w:r>
    </w:p>
    <w:p w14:paraId="310EE1FF" w14:textId="29557D2E" w:rsidR="00D1628F" w:rsidRPr="00D1628F" w:rsidRDefault="00D1628F" w:rsidP="00D1628F">
      <w:pPr>
        <w:numPr>
          <w:ilvl w:val="0"/>
          <w:numId w:val="21"/>
        </w:numPr>
      </w:pPr>
      <w:r w:rsidRPr="00D1628F">
        <w:rPr>
          <w:b/>
          <w:bCs/>
        </w:rPr>
        <w:lastRenderedPageBreak/>
        <w:t xml:space="preserve">Anonymisiertes Aktenzeichen </w:t>
      </w:r>
      <w:r w:rsidRPr="00D1628F">
        <w:t>(z. B. 12 F ... / 24)</w:t>
      </w:r>
      <w:r w:rsidRPr="00D1628F">
        <w:rPr>
          <w:b/>
          <w:bCs/>
        </w:rPr>
        <w:t>:</w:t>
      </w:r>
      <w:r w:rsidRPr="00D1628F">
        <w:t xml:space="preserve"> ___________________________ </w:t>
      </w:r>
    </w:p>
    <w:p w14:paraId="2300D1E6" w14:textId="4FB01797" w:rsidR="00D1628F" w:rsidRPr="00D1628F" w:rsidRDefault="00D1628F" w:rsidP="00D1628F">
      <w:pPr>
        <w:numPr>
          <w:ilvl w:val="0"/>
          <w:numId w:val="21"/>
        </w:numPr>
      </w:pPr>
      <w:r w:rsidRPr="00D1628F">
        <w:rPr>
          <w:b/>
          <w:bCs/>
        </w:rPr>
        <w:t xml:space="preserve">Zeitraum des Verfahrens </w:t>
      </w:r>
      <w:r w:rsidRPr="00D1628F">
        <w:t>(oder „anhängig“)</w:t>
      </w:r>
      <w:r w:rsidRPr="00D1628F">
        <w:rPr>
          <w:b/>
          <w:bCs/>
        </w:rPr>
        <w:t>:</w:t>
      </w:r>
      <w:r w:rsidRPr="00D1628F">
        <w:t xml:space="preserve"> ___________________________ </w:t>
      </w:r>
    </w:p>
    <w:p w14:paraId="787E3D55" w14:textId="4E73240C" w:rsidR="00C611DE" w:rsidRDefault="00C611DE">
      <w:pPr>
        <w:rPr>
          <w:b/>
          <w:bCs/>
        </w:rPr>
      </w:pPr>
    </w:p>
    <w:p w14:paraId="71812B5C" w14:textId="65FEBBF9" w:rsidR="00D1628F" w:rsidRPr="00D1628F" w:rsidRDefault="00D1628F" w:rsidP="00D1628F">
      <w:r w:rsidRPr="00D1628F">
        <w:rPr>
          <w:b/>
          <w:bCs/>
        </w:rPr>
        <w:t xml:space="preserve">Beteiligte Fachkräfte </w:t>
      </w:r>
      <w:r w:rsidRPr="00D1628F">
        <w:t>(bitte Namen angeben und unprofessionelles Handeln markieren)</w:t>
      </w:r>
      <w:r w:rsidRPr="00D1628F">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1"/>
        <w:gridCol w:w="2570"/>
        <w:gridCol w:w="3835"/>
      </w:tblGrid>
      <w:tr w:rsidR="00D1628F" w:rsidRPr="00D1628F" w14:paraId="2E7D329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695B37" w14:textId="77777777" w:rsidR="00D1628F" w:rsidRPr="00D1628F" w:rsidRDefault="00D1628F" w:rsidP="00D1628F">
            <w:proofErr w:type="spellStart"/>
            <w:r w:rsidRPr="00D1628F">
              <w:rPr>
                <w:b/>
                <w:bCs/>
              </w:rPr>
              <w:t>Akteur:in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BDD0AF1" w14:textId="77777777" w:rsidR="00D1628F" w:rsidRPr="00D1628F" w:rsidRDefault="00D1628F" w:rsidP="00D1628F">
            <w:r w:rsidRPr="00D1628F">
              <w:rPr>
                <w:b/>
                <w:bCs/>
              </w:rPr>
              <w:t xml:space="preserve">Name der Person / Behörde </w:t>
            </w:r>
          </w:p>
        </w:tc>
        <w:tc>
          <w:tcPr>
            <w:tcW w:w="0" w:type="auto"/>
            <w:tcBorders>
              <w:top w:val="single" w:sz="6" w:space="0" w:color="auto"/>
              <w:left w:val="single" w:sz="6" w:space="0" w:color="auto"/>
              <w:bottom w:val="single" w:sz="6" w:space="0" w:color="auto"/>
              <w:right w:val="single" w:sz="6" w:space="0" w:color="auto"/>
            </w:tcBorders>
            <w:vAlign w:val="center"/>
            <w:hideMark/>
          </w:tcPr>
          <w:p w14:paraId="69F9C811" w14:textId="77777777" w:rsidR="00D1628F" w:rsidRPr="00D1628F" w:rsidRDefault="00D1628F" w:rsidP="00D1628F">
            <w:proofErr w:type="gramStart"/>
            <w:r w:rsidRPr="00D1628F">
              <w:rPr>
                <w:b/>
                <w:bCs/>
              </w:rPr>
              <w:t>[ ]</w:t>
            </w:r>
            <w:proofErr w:type="gramEnd"/>
            <w:r w:rsidRPr="00D1628F">
              <w:rPr>
                <w:b/>
                <w:bCs/>
              </w:rPr>
              <w:t xml:space="preserve"> Dokumentiertes unprofessionelles Handeln</w:t>
            </w:r>
          </w:p>
        </w:tc>
      </w:tr>
      <w:tr w:rsidR="00D1628F" w:rsidRPr="00D1628F" w14:paraId="2A2AE80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0A4204" w14:textId="77777777" w:rsidR="00D1628F" w:rsidRPr="00D1628F" w:rsidRDefault="00D1628F" w:rsidP="00D1628F">
            <w:proofErr w:type="spellStart"/>
            <w:proofErr w:type="gramStart"/>
            <w:r w:rsidRPr="00D1628F">
              <w:rPr>
                <w:b/>
                <w:bCs/>
              </w:rPr>
              <w:t>Vorsitzende:r</w:t>
            </w:r>
            <w:proofErr w:type="spellEnd"/>
            <w:proofErr w:type="gramEnd"/>
            <w:r w:rsidRPr="00D1628F">
              <w:rPr>
                <w:b/>
                <w:bCs/>
              </w:rPr>
              <w:t xml:space="preserve"> </w:t>
            </w:r>
            <w:proofErr w:type="spellStart"/>
            <w:r w:rsidRPr="00D1628F">
              <w:rPr>
                <w:b/>
                <w:bCs/>
              </w:rPr>
              <w:t>Richter:in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68935CA8" w14:textId="77777777" w:rsidR="00D1628F" w:rsidRPr="00D1628F" w:rsidRDefault="00D1628F" w:rsidP="00D1628F">
            <w:r w:rsidRPr="00D1628F">
              <w:t>____________________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785684A0" w14:textId="77777777" w:rsidR="00D1628F" w:rsidRPr="00D1628F" w:rsidRDefault="00D1628F" w:rsidP="00D1628F">
            <w:r w:rsidRPr="00D1628F">
              <w:t>[ ]</w:t>
            </w:r>
          </w:p>
        </w:tc>
      </w:tr>
      <w:tr w:rsidR="00D1628F" w:rsidRPr="00D1628F" w14:paraId="7E4A52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146920" w14:textId="6CD5A580" w:rsidR="00D1628F" w:rsidRPr="00D1628F" w:rsidRDefault="00D1628F" w:rsidP="00D1628F">
            <w:r w:rsidRPr="00D1628F">
              <w:rPr>
                <w:b/>
                <w:bCs/>
              </w:rPr>
              <w:t>Verfahrens</w:t>
            </w:r>
            <w:r>
              <w:rPr>
                <w:b/>
                <w:bCs/>
              </w:rPr>
              <w:t>-/ Kinder</w:t>
            </w:r>
            <w:r w:rsidRPr="00D1628F">
              <w:rPr>
                <w:b/>
                <w:bCs/>
              </w:rPr>
              <w:t>beistand</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1D1E1" w14:textId="77777777" w:rsidR="00D1628F" w:rsidRPr="00D1628F" w:rsidRDefault="00D1628F" w:rsidP="00D1628F">
            <w:r w:rsidRPr="00D1628F">
              <w:t>____________________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6BAD9C19" w14:textId="77777777" w:rsidR="00D1628F" w:rsidRPr="00D1628F" w:rsidRDefault="00D1628F" w:rsidP="00D1628F">
            <w:r w:rsidRPr="00D1628F">
              <w:t>[ ]</w:t>
            </w:r>
          </w:p>
        </w:tc>
      </w:tr>
      <w:tr w:rsidR="00D1628F" w:rsidRPr="00D1628F" w14:paraId="6E30370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4B2C01" w14:textId="35392A60" w:rsidR="00D1628F" w:rsidRPr="00D1628F" w:rsidRDefault="00D1628F" w:rsidP="00D1628F">
            <w:r>
              <w:rPr>
                <w:b/>
                <w:bCs/>
              </w:rPr>
              <w:t xml:space="preserve">Zuständiges </w:t>
            </w:r>
            <w:r w:rsidRPr="00D1628F">
              <w:rPr>
                <w:b/>
                <w:bCs/>
              </w:rPr>
              <w:t xml:space="preserve">Jugendamt </w:t>
            </w:r>
          </w:p>
        </w:tc>
        <w:tc>
          <w:tcPr>
            <w:tcW w:w="0" w:type="auto"/>
            <w:tcBorders>
              <w:top w:val="single" w:sz="6" w:space="0" w:color="auto"/>
              <w:left w:val="single" w:sz="6" w:space="0" w:color="auto"/>
              <w:bottom w:val="single" w:sz="6" w:space="0" w:color="auto"/>
              <w:right w:val="single" w:sz="6" w:space="0" w:color="auto"/>
            </w:tcBorders>
            <w:vAlign w:val="center"/>
            <w:hideMark/>
          </w:tcPr>
          <w:p w14:paraId="52E3C474" w14:textId="77777777" w:rsidR="00D1628F" w:rsidRPr="00D1628F" w:rsidRDefault="00D1628F" w:rsidP="00D1628F">
            <w:r w:rsidRPr="00D1628F">
              <w:t>____________________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06F488C9" w14:textId="77777777" w:rsidR="00D1628F" w:rsidRPr="00D1628F" w:rsidRDefault="00D1628F" w:rsidP="00D1628F">
            <w:r w:rsidRPr="00D1628F">
              <w:t>[ ]</w:t>
            </w:r>
          </w:p>
        </w:tc>
      </w:tr>
      <w:tr w:rsidR="00D1628F" w:rsidRPr="00D1628F" w14:paraId="43B6766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BCB1C2" w14:textId="77777777" w:rsidR="00D1628F" w:rsidRPr="00D1628F" w:rsidRDefault="00D1628F" w:rsidP="00D1628F">
            <w:proofErr w:type="spellStart"/>
            <w:r w:rsidRPr="00D1628F">
              <w:rPr>
                <w:b/>
                <w:bCs/>
              </w:rPr>
              <w:t>Gutachter:in</w:t>
            </w:r>
            <w:proofErr w:type="spellEnd"/>
            <w:r w:rsidRPr="00D1628F">
              <w:rPr>
                <w:b/>
                <w:bCs/>
              </w:rPr>
              <w:t xml:space="preserve"> (Name/Institut)</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C369E" w14:textId="77777777" w:rsidR="00D1628F" w:rsidRPr="00D1628F" w:rsidRDefault="00D1628F" w:rsidP="00D1628F">
            <w:r w:rsidRPr="00D1628F">
              <w:t>____________________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3DC82EC1" w14:textId="77777777" w:rsidR="00D1628F" w:rsidRPr="00D1628F" w:rsidRDefault="00D1628F" w:rsidP="00D1628F">
            <w:r w:rsidRPr="00D1628F">
              <w:t>[ ]</w:t>
            </w:r>
          </w:p>
        </w:tc>
      </w:tr>
      <w:tr w:rsidR="00D1628F" w:rsidRPr="00D1628F" w14:paraId="42306B9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E95AE2" w14:textId="2CABE17D" w:rsidR="00D1628F" w:rsidRPr="00D1628F" w:rsidRDefault="00D1628F" w:rsidP="00D1628F">
            <w:proofErr w:type="spellStart"/>
            <w:r w:rsidRPr="00D1628F">
              <w:rPr>
                <w:b/>
                <w:bCs/>
              </w:rPr>
              <w:t>Umgangsbegleiter</w:t>
            </w:r>
            <w:r>
              <w:rPr>
                <w:b/>
                <w:bCs/>
              </w:rPr>
              <w:t>:in</w:t>
            </w:r>
            <w:proofErr w:type="spellEnd"/>
            <w:r w:rsidRPr="00D1628F">
              <w:rPr>
                <w:b/>
                <w:bCs/>
              </w:rPr>
              <w:t>/ Träger</w:t>
            </w:r>
          </w:p>
        </w:tc>
        <w:tc>
          <w:tcPr>
            <w:tcW w:w="0" w:type="auto"/>
            <w:tcBorders>
              <w:top w:val="single" w:sz="6" w:space="0" w:color="auto"/>
              <w:left w:val="single" w:sz="6" w:space="0" w:color="auto"/>
              <w:bottom w:val="single" w:sz="6" w:space="0" w:color="auto"/>
              <w:right w:val="single" w:sz="6" w:space="0" w:color="auto"/>
            </w:tcBorders>
            <w:vAlign w:val="center"/>
            <w:hideMark/>
          </w:tcPr>
          <w:p w14:paraId="1850678C" w14:textId="77777777" w:rsidR="00D1628F" w:rsidRPr="00D1628F" w:rsidRDefault="00D1628F" w:rsidP="00D1628F">
            <w:r w:rsidRPr="00D1628F">
              <w:t>____________________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1185C" w14:textId="77777777" w:rsidR="00D1628F" w:rsidRPr="00D1628F" w:rsidRDefault="00D1628F" w:rsidP="00D1628F">
            <w:r w:rsidRPr="00D1628F">
              <w:t>[ ]</w:t>
            </w:r>
          </w:p>
        </w:tc>
      </w:tr>
      <w:tr w:rsidR="00D1628F" w:rsidRPr="00D1628F" w14:paraId="155E2BD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9C8ED1" w14:textId="01487E28" w:rsidR="00D1628F" w:rsidRPr="00D1628F" w:rsidRDefault="00D1628F" w:rsidP="00D1628F">
            <w:proofErr w:type="spellStart"/>
            <w:r w:rsidRPr="00D1628F">
              <w:rPr>
                <w:b/>
                <w:bCs/>
              </w:rPr>
              <w:t>Rechtsanw</w:t>
            </w:r>
            <w:r>
              <w:rPr>
                <w:b/>
                <w:bCs/>
              </w:rPr>
              <w:t>ä</w:t>
            </w:r>
            <w:r w:rsidRPr="00D1628F">
              <w:rPr>
                <w:b/>
                <w:bCs/>
              </w:rPr>
              <w:t>lt</w:t>
            </w:r>
            <w:r>
              <w:rPr>
                <w:b/>
                <w:bCs/>
              </w:rPr>
              <w:t>:in</w:t>
            </w:r>
            <w:proofErr w:type="spellEnd"/>
            <w:r w:rsidRPr="00D1628F">
              <w:rPr>
                <w:b/>
                <w:bCs/>
              </w:rPr>
              <w:t xml:space="preserve"> (Gegenseite)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F1FD7A5" w14:textId="77777777" w:rsidR="00D1628F" w:rsidRPr="00D1628F" w:rsidRDefault="00D1628F" w:rsidP="00D1628F">
            <w:r w:rsidRPr="00D1628F">
              <w:t>____________________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13A0A81D" w14:textId="77777777" w:rsidR="00D1628F" w:rsidRPr="00D1628F" w:rsidRDefault="00D1628F" w:rsidP="00D1628F">
            <w:r w:rsidRPr="00D1628F">
              <w:t>[ ]</w:t>
            </w:r>
          </w:p>
        </w:tc>
      </w:tr>
    </w:tbl>
    <w:p w14:paraId="09332508" w14:textId="77777777" w:rsidR="00D1628F" w:rsidRDefault="00D1628F" w:rsidP="00C2192B"/>
    <w:p w14:paraId="58910D91" w14:textId="092D8C0F" w:rsidR="00D1628F" w:rsidRPr="00D1628F" w:rsidRDefault="00D1628F" w:rsidP="00C611DE">
      <w:pPr>
        <w:pStyle w:val="Untertitel"/>
      </w:pPr>
      <w:r w:rsidRPr="00D1628F">
        <w:t>3. Kategorisierung des Systemversagens</w:t>
      </w:r>
    </w:p>
    <w:p w14:paraId="4FC2577B" w14:textId="77777777" w:rsidR="00D1628F" w:rsidRPr="00D1628F" w:rsidRDefault="00D1628F" w:rsidP="00D1628F">
      <w:pPr>
        <w:rPr>
          <w:b/>
          <w:bCs/>
        </w:rPr>
      </w:pPr>
      <w:r w:rsidRPr="00D1628F">
        <w:rPr>
          <w:b/>
          <w:bCs/>
        </w:rPr>
        <w:t>Säule 1: Gewaltschutz &amp; Völkerrecht (Art. 31 Istanbul-Konvention)</w:t>
      </w:r>
    </w:p>
    <w:p w14:paraId="77AD7D3E" w14:textId="77777777" w:rsidR="0017349B" w:rsidRDefault="0017349B" w:rsidP="0017349B">
      <w:pPr>
        <w:numPr>
          <w:ilvl w:val="0"/>
          <w:numId w:val="22"/>
        </w:numPr>
      </w:pPr>
      <w:proofErr w:type="gramStart"/>
      <w:r w:rsidRPr="0017349B">
        <w:rPr>
          <w:b/>
          <w:bCs/>
        </w:rPr>
        <w:t>[ ]</w:t>
      </w:r>
      <w:proofErr w:type="gramEnd"/>
      <w:r w:rsidRPr="0017349B">
        <w:rPr>
          <w:b/>
          <w:bCs/>
        </w:rPr>
        <w:t xml:space="preserve"> Verletzung von Art. 31 Istanbul-Konvention</w:t>
      </w:r>
      <w:r>
        <w:t>: Gewalt (physisch/psychisch/ökonomisch) wurde bei Sorge- und Umgangsentscheidungen nicht vorrangig berücksichtigt.</w:t>
      </w:r>
    </w:p>
    <w:p w14:paraId="654206CB" w14:textId="20F62244" w:rsidR="0017349B" w:rsidRDefault="0017349B" w:rsidP="0017349B">
      <w:pPr>
        <w:numPr>
          <w:ilvl w:val="0"/>
          <w:numId w:val="22"/>
        </w:numPr>
      </w:pPr>
      <w:proofErr w:type="gramStart"/>
      <w:r w:rsidRPr="000A54EB">
        <w:rPr>
          <w:b/>
          <w:bCs/>
        </w:rPr>
        <w:t>[ ]</w:t>
      </w:r>
      <w:proofErr w:type="gramEnd"/>
      <w:r w:rsidRPr="000A54EB">
        <w:rPr>
          <w:b/>
          <w:bCs/>
        </w:rPr>
        <w:t xml:space="preserve"> Gewaltignoranz</w:t>
      </w:r>
      <w:r w:rsidR="000A54EB" w:rsidRPr="000A54EB">
        <w:rPr>
          <w:b/>
          <w:bCs/>
        </w:rPr>
        <w:t xml:space="preserve"> &amp; Neutralisierung von Gewalt</w:t>
      </w:r>
      <w:r w:rsidRPr="000A54EB">
        <w:rPr>
          <w:b/>
          <w:bCs/>
        </w:rPr>
        <w:t>:</w:t>
      </w:r>
      <w:r w:rsidRPr="00D1628F">
        <w:t xml:space="preserve"> Systematische Nichtberücksichtigung von Gewaltvorkommnissen trotz Vorlage von Beweismitteln. Einseitiges Framing von Gewaltverhältnissen als bloße „</w:t>
      </w:r>
      <w:proofErr w:type="spellStart"/>
      <w:r w:rsidRPr="00D1628F">
        <w:t>Hochstrittigkeit</w:t>
      </w:r>
      <w:proofErr w:type="spellEnd"/>
      <w:r w:rsidRPr="00D1628F">
        <w:t>“.</w:t>
      </w:r>
    </w:p>
    <w:p w14:paraId="11EE6A9D" w14:textId="77777777" w:rsidR="0017349B" w:rsidRDefault="0017349B" w:rsidP="0017349B">
      <w:pPr>
        <w:numPr>
          <w:ilvl w:val="0"/>
          <w:numId w:val="22"/>
        </w:numPr>
      </w:pPr>
      <w:proofErr w:type="gramStart"/>
      <w:r w:rsidRPr="0017349B">
        <w:rPr>
          <w:b/>
          <w:bCs/>
        </w:rPr>
        <w:t>[ ]</w:t>
      </w:r>
      <w:proofErr w:type="gramEnd"/>
      <w:r w:rsidRPr="0017349B">
        <w:rPr>
          <w:b/>
          <w:bCs/>
        </w:rPr>
        <w:t xml:space="preserve"> Bagatellisierung von </w:t>
      </w:r>
      <w:proofErr w:type="spellStart"/>
      <w:r w:rsidRPr="0017349B">
        <w:rPr>
          <w:b/>
          <w:bCs/>
        </w:rPr>
        <w:t>Coercive</w:t>
      </w:r>
      <w:proofErr w:type="spellEnd"/>
      <w:r w:rsidRPr="0017349B">
        <w:rPr>
          <w:b/>
          <w:bCs/>
        </w:rPr>
        <w:t xml:space="preserve"> Control</w:t>
      </w:r>
      <w:r>
        <w:t>: Strategische Zwangskontrolle wurde als „Paarkonflikt auf Augenhöhe“ oder „Kommunikationsproblem“ neutralisiert.</w:t>
      </w:r>
    </w:p>
    <w:p w14:paraId="7C121AD0" w14:textId="0519AD9F" w:rsidR="0017349B" w:rsidRPr="0017349B" w:rsidRDefault="0017349B" w:rsidP="0017349B">
      <w:pPr>
        <w:numPr>
          <w:ilvl w:val="0"/>
          <w:numId w:val="22"/>
        </w:numPr>
      </w:pPr>
      <w:proofErr w:type="gramStart"/>
      <w:r w:rsidRPr="0017349B">
        <w:rPr>
          <w:b/>
          <w:bCs/>
        </w:rPr>
        <w:t>[ ]</w:t>
      </w:r>
      <w:proofErr w:type="gramEnd"/>
      <w:r w:rsidRPr="0017349B">
        <w:rPr>
          <w:b/>
          <w:bCs/>
        </w:rPr>
        <w:t xml:space="preserve"> Sanktionierung von Schutzverhalten</w:t>
      </w:r>
      <w:r>
        <w:t>: Die Wahrnehmung des mütterlichen Schutzauftrags wurde als „Umgangsvereitelung“ oder „mangelnde Bindungstoleranz“ bestraft.</w:t>
      </w:r>
    </w:p>
    <w:p w14:paraId="04341A6D" w14:textId="77777777" w:rsidR="000A54EB" w:rsidRDefault="00D1628F" w:rsidP="000A54EB">
      <w:pPr>
        <w:numPr>
          <w:ilvl w:val="0"/>
          <w:numId w:val="22"/>
        </w:numPr>
      </w:pPr>
      <w:proofErr w:type="gramStart"/>
      <w:r w:rsidRPr="00D1628F">
        <w:rPr>
          <w:b/>
          <w:bCs/>
        </w:rPr>
        <w:t>[ ]</w:t>
      </w:r>
      <w:proofErr w:type="gramEnd"/>
      <w:r w:rsidRPr="00D1628F">
        <w:rPr>
          <w:b/>
          <w:bCs/>
        </w:rPr>
        <w:t xml:space="preserve"> Sicherheitsdefizit:</w:t>
      </w:r>
      <w:r w:rsidRPr="00D1628F">
        <w:t xml:space="preserve"> Unterlassung notwendiger Schutzmaßnahmen trotz hoher Gefährdungslage.</w:t>
      </w:r>
    </w:p>
    <w:p w14:paraId="3A6A86A8" w14:textId="2A77759F" w:rsidR="00980832" w:rsidRDefault="000A54EB" w:rsidP="000A54EB">
      <w:pPr>
        <w:numPr>
          <w:ilvl w:val="0"/>
          <w:numId w:val="22"/>
        </w:numPr>
      </w:pPr>
      <w:r w:rsidRPr="000A54EB">
        <w:rPr>
          <w:b/>
          <w:bCs/>
        </w:rPr>
        <w:t xml:space="preserve"> </w:t>
      </w:r>
      <w:proofErr w:type="gramStart"/>
      <w:r w:rsidRPr="000A54EB">
        <w:rPr>
          <w:b/>
          <w:bCs/>
        </w:rPr>
        <w:t>[ ]</w:t>
      </w:r>
      <w:proofErr w:type="gramEnd"/>
      <w:r w:rsidRPr="000A54EB">
        <w:rPr>
          <w:b/>
          <w:bCs/>
        </w:rPr>
        <w:t xml:space="preserve"> Retraumatisierung</w:t>
      </w:r>
      <w:r w:rsidRPr="000A54EB">
        <w:t xml:space="preserve">: </w:t>
      </w:r>
      <w:r>
        <w:t>Wurde</w:t>
      </w:r>
      <w:r w:rsidRPr="000A54EB">
        <w:t xml:space="preserve"> die Mutter durch das Verfahren gezwungen, den Kontakt zum Gefährder ohne Schutzmaßnahmen aufrechtzuerhalten?</w:t>
      </w:r>
    </w:p>
    <w:p w14:paraId="43E827EF" w14:textId="77777777" w:rsidR="00980832" w:rsidRDefault="00980832">
      <w:r>
        <w:br w:type="page"/>
      </w:r>
    </w:p>
    <w:p w14:paraId="172C1AF1" w14:textId="28A23F52" w:rsidR="00D1628F" w:rsidRPr="00D1628F" w:rsidRDefault="00D1628F" w:rsidP="00D1628F">
      <w:pPr>
        <w:rPr>
          <w:b/>
          <w:bCs/>
        </w:rPr>
      </w:pPr>
      <w:r w:rsidRPr="00D1628F">
        <w:rPr>
          <w:b/>
          <w:bCs/>
        </w:rPr>
        <w:lastRenderedPageBreak/>
        <w:t xml:space="preserve">Säule 2: </w:t>
      </w:r>
      <w:r w:rsidR="0017349B" w:rsidRPr="0017349B">
        <w:rPr>
          <w:b/>
          <w:bCs/>
        </w:rPr>
        <w:t>Ideologie,</w:t>
      </w:r>
      <w:r w:rsidRPr="00D1628F">
        <w:rPr>
          <w:b/>
          <w:bCs/>
        </w:rPr>
        <w:t xml:space="preserve"> Pathologisierung (Täter-Opfer-Umkehr)</w:t>
      </w:r>
      <w:r w:rsidR="0017349B">
        <w:rPr>
          <w:b/>
          <w:bCs/>
        </w:rPr>
        <w:t xml:space="preserve"> </w:t>
      </w:r>
      <w:r w:rsidR="0017349B" w:rsidRPr="0017349B">
        <w:rPr>
          <w:b/>
          <w:bCs/>
        </w:rPr>
        <w:t>&amp; System-Gaslighting</w:t>
      </w:r>
    </w:p>
    <w:p w14:paraId="384ED506" w14:textId="64FC00B6" w:rsidR="0017349B" w:rsidRPr="0017349B" w:rsidRDefault="0017349B" w:rsidP="0017349B">
      <w:pPr>
        <w:pStyle w:val="Listenabsatz"/>
        <w:numPr>
          <w:ilvl w:val="0"/>
          <w:numId w:val="23"/>
        </w:numPr>
      </w:pPr>
      <w:proofErr w:type="gramStart"/>
      <w:r w:rsidRPr="000A54EB">
        <w:rPr>
          <w:b/>
          <w:bCs/>
        </w:rPr>
        <w:t>[ ]</w:t>
      </w:r>
      <w:proofErr w:type="gramEnd"/>
      <w:r w:rsidRPr="000A54EB">
        <w:rPr>
          <w:b/>
          <w:bCs/>
        </w:rPr>
        <w:t xml:space="preserve"> </w:t>
      </w:r>
      <w:r w:rsidR="000A54EB" w:rsidRPr="000A54EB">
        <w:rPr>
          <w:b/>
          <w:bCs/>
        </w:rPr>
        <w:t>Pseudowissenschaftliche Konzepte:</w:t>
      </w:r>
      <w:r w:rsidR="000A54EB" w:rsidRPr="000A54EB">
        <w:t xml:space="preserve"> Finden Begriffe wie PAS (Parental Alienation Syndrome), „Eltern-Kind-Entfremdung“ oder „Bindungsintoleranz“ </w:t>
      </w:r>
      <w:r w:rsidR="000A54EB">
        <w:t xml:space="preserve">(in Gutachten) </w:t>
      </w:r>
      <w:r w:rsidR="000A54EB" w:rsidRPr="000A54EB">
        <w:t>Verwendung, um tatsächliche Gewalterfahrungen zu pathologisieren oder zu entwerten?</w:t>
      </w:r>
    </w:p>
    <w:p w14:paraId="4AB5F0E3" w14:textId="77777777" w:rsidR="0017349B" w:rsidRPr="0017349B" w:rsidRDefault="0017349B" w:rsidP="0017349B">
      <w:pPr>
        <w:numPr>
          <w:ilvl w:val="0"/>
          <w:numId w:val="23"/>
        </w:numPr>
      </w:pPr>
      <w:proofErr w:type="gramStart"/>
      <w:r w:rsidRPr="0017349B">
        <w:rPr>
          <w:b/>
          <w:bCs/>
        </w:rPr>
        <w:t>[ ]</w:t>
      </w:r>
      <w:proofErr w:type="gramEnd"/>
      <w:r w:rsidRPr="0017349B">
        <w:rPr>
          <w:b/>
          <w:bCs/>
        </w:rPr>
        <w:t xml:space="preserve"> Pathologisierung der Mutter: </w:t>
      </w:r>
      <w:r w:rsidRPr="0017349B">
        <w:t>Diagnostische Etikettierung (z.B. „instabil“, „symbiotisch“, „paranoid“) ohne klinisch fundierte Grundlage, um die Glaubwürdigkeit zu zerstören.</w:t>
      </w:r>
    </w:p>
    <w:p w14:paraId="61DABFD4" w14:textId="77777777" w:rsidR="000A54EB" w:rsidRDefault="0017349B" w:rsidP="00C611DE">
      <w:pPr>
        <w:numPr>
          <w:ilvl w:val="0"/>
          <w:numId w:val="23"/>
        </w:numPr>
      </w:pPr>
      <w:proofErr w:type="gramStart"/>
      <w:r w:rsidRPr="00C611DE">
        <w:rPr>
          <w:b/>
          <w:bCs/>
        </w:rPr>
        <w:t>[ ]</w:t>
      </w:r>
      <w:proofErr w:type="gramEnd"/>
      <w:r w:rsidRPr="00C611DE">
        <w:rPr>
          <w:b/>
          <w:bCs/>
        </w:rPr>
        <w:t xml:space="preserve"> Erzwungene Kooperation: </w:t>
      </w:r>
      <w:r w:rsidRPr="0017349B">
        <w:t>Nötigung zur Zusammenarbeit mit dem Gefährder unter Androhung von Sorgerechtsentzug oder Bußgeldern.</w:t>
      </w:r>
    </w:p>
    <w:p w14:paraId="6EE0C519" w14:textId="77777777" w:rsidR="000A54EB" w:rsidRDefault="000A54EB" w:rsidP="000A54EB">
      <w:pPr>
        <w:numPr>
          <w:ilvl w:val="0"/>
          <w:numId w:val="23"/>
        </w:numPr>
      </w:pPr>
      <w:r w:rsidRPr="000A54EB">
        <w:rPr>
          <w:b/>
          <w:bCs/>
        </w:rPr>
        <w:t>Transparenz &amp; Logik</w:t>
      </w:r>
      <w:r>
        <w:t>: Sind die gezogenen Schlüsse aus den erhobenen Daten logisch nachvollziehbar, oder handelt es sich um reine Gefälligkeitsurteile ohne empirische Basis?</w:t>
      </w:r>
    </w:p>
    <w:p w14:paraId="2550952E" w14:textId="473C9E31" w:rsidR="00D1628F" w:rsidRPr="00D1628F" w:rsidRDefault="00D1628F" w:rsidP="0017349B">
      <w:pPr>
        <w:rPr>
          <w:b/>
          <w:bCs/>
        </w:rPr>
      </w:pPr>
      <w:r w:rsidRPr="00D1628F">
        <w:rPr>
          <w:b/>
          <w:bCs/>
        </w:rPr>
        <w:t>Säule 3: Kinderrechte &amp; Fehlverhalten von Beiständen</w:t>
      </w:r>
    </w:p>
    <w:p w14:paraId="547D3942" w14:textId="03D040C4" w:rsidR="00D1628F" w:rsidRDefault="00D1628F" w:rsidP="00D1628F">
      <w:pPr>
        <w:numPr>
          <w:ilvl w:val="0"/>
          <w:numId w:val="24"/>
        </w:numPr>
      </w:pPr>
      <w:proofErr w:type="gramStart"/>
      <w:r w:rsidRPr="00D1628F">
        <w:rPr>
          <w:b/>
          <w:bCs/>
        </w:rPr>
        <w:t>[ ]</w:t>
      </w:r>
      <w:proofErr w:type="gramEnd"/>
      <w:r w:rsidRPr="00D1628F">
        <w:rPr>
          <w:b/>
          <w:bCs/>
        </w:rPr>
        <w:t xml:space="preserve"> Verletzung der Subjektstellung:</w:t>
      </w:r>
      <w:r w:rsidRPr="00D1628F">
        <w:t xml:space="preserve"> Der artikulierte Wille des Kindes wurde ignoriert</w:t>
      </w:r>
      <w:r w:rsidR="0017349B">
        <w:t xml:space="preserve">, </w:t>
      </w:r>
      <w:r w:rsidRPr="00D1628F">
        <w:t xml:space="preserve">als manipuliert </w:t>
      </w:r>
      <w:r w:rsidR="0017349B">
        <w:t xml:space="preserve">oder </w:t>
      </w:r>
      <w:r w:rsidR="0017349B" w:rsidRPr="0017349B">
        <w:t>„nicht autonom“</w:t>
      </w:r>
      <w:r w:rsidR="0017349B">
        <w:t xml:space="preserve"> </w:t>
      </w:r>
      <w:r w:rsidRPr="00D1628F">
        <w:t>deklariert.</w:t>
      </w:r>
    </w:p>
    <w:p w14:paraId="02CEF68F" w14:textId="1962E03C" w:rsidR="000A54EB" w:rsidRPr="00D1628F" w:rsidRDefault="000A54EB" w:rsidP="00D1628F">
      <w:pPr>
        <w:numPr>
          <w:ilvl w:val="0"/>
          <w:numId w:val="24"/>
        </w:numPr>
      </w:pPr>
      <w:r w:rsidRPr="000A54EB">
        <w:rPr>
          <w:b/>
          <w:bCs/>
        </w:rPr>
        <w:t>Fehlende Qualifikation</w:t>
      </w:r>
      <w:r w:rsidRPr="000A54EB">
        <w:t>: Bes</w:t>
      </w:r>
      <w:r>
        <w:t>aß</w:t>
      </w:r>
      <w:r w:rsidRPr="000A54EB">
        <w:t xml:space="preserve">en die eingesetzten Verfahrensbeistände oder </w:t>
      </w:r>
      <w:proofErr w:type="spellStart"/>
      <w:proofErr w:type="gramStart"/>
      <w:r w:rsidRPr="000A54EB">
        <w:t>Gutachter:innen</w:t>
      </w:r>
      <w:proofErr w:type="spellEnd"/>
      <w:proofErr w:type="gramEnd"/>
      <w:r w:rsidRPr="000A54EB">
        <w:t xml:space="preserve"> überhaupt die notwendige psychologische oder </w:t>
      </w:r>
      <w:proofErr w:type="spellStart"/>
      <w:r w:rsidRPr="000A54EB">
        <w:t>traumapädagogische</w:t>
      </w:r>
      <w:proofErr w:type="spellEnd"/>
      <w:r w:rsidRPr="000A54EB">
        <w:t xml:space="preserve"> Expertise für diesen spezifischen Fall?</w:t>
      </w:r>
    </w:p>
    <w:p w14:paraId="21A19C16" w14:textId="35ED8FB7" w:rsidR="00D1628F" w:rsidRPr="00D1628F" w:rsidRDefault="00D1628F" w:rsidP="00D1628F">
      <w:pPr>
        <w:numPr>
          <w:ilvl w:val="0"/>
          <w:numId w:val="24"/>
        </w:numPr>
      </w:pPr>
      <w:proofErr w:type="gramStart"/>
      <w:r w:rsidRPr="00D1628F">
        <w:rPr>
          <w:b/>
          <w:bCs/>
        </w:rPr>
        <w:t>[ ]</w:t>
      </w:r>
      <w:proofErr w:type="gramEnd"/>
      <w:r w:rsidRPr="00D1628F">
        <w:rPr>
          <w:b/>
          <w:bCs/>
        </w:rPr>
        <w:t xml:space="preserve"> Unprofessionelle Befragungsmethodik:</w:t>
      </w:r>
      <w:r w:rsidRPr="00D1628F">
        <w:t xml:space="preserve"> </w:t>
      </w:r>
      <w:r w:rsidR="0017349B" w:rsidRPr="0017349B">
        <w:t>Der Beistand nutzte Suggestivfragen oder übte massiven moralischen Druck auf das Kind aus (</w:t>
      </w:r>
      <w:r w:rsidR="0017349B">
        <w:t xml:space="preserve">z. B. </w:t>
      </w:r>
      <w:r w:rsidR="0017349B" w:rsidRPr="0017349B">
        <w:t>„Papa ist traurig“).</w:t>
      </w:r>
    </w:p>
    <w:p w14:paraId="6BF4AAF8" w14:textId="55A08CF3" w:rsidR="00D1628F" w:rsidRPr="00D1628F" w:rsidRDefault="00D1628F" w:rsidP="00D1628F">
      <w:pPr>
        <w:numPr>
          <w:ilvl w:val="0"/>
          <w:numId w:val="24"/>
        </w:numPr>
      </w:pPr>
      <w:proofErr w:type="gramStart"/>
      <w:r w:rsidRPr="00D1628F">
        <w:rPr>
          <w:b/>
          <w:bCs/>
        </w:rPr>
        <w:t>[ ]</w:t>
      </w:r>
      <w:proofErr w:type="gramEnd"/>
      <w:r w:rsidRPr="00D1628F">
        <w:rPr>
          <w:b/>
          <w:bCs/>
        </w:rPr>
        <w:t xml:space="preserve"> Parteilichkeit des Beistands:</w:t>
      </w:r>
      <w:r w:rsidRPr="00D1628F">
        <w:t xml:space="preserve"> Einseitige Parteinahme des Beistands für den gefährdenden Elternteil unter Ignoranz von Schutzbedürfnissen.</w:t>
      </w:r>
      <w:r w:rsidR="0017349B">
        <w:t xml:space="preserve"> </w:t>
      </w:r>
      <w:r w:rsidR="0017349B" w:rsidRPr="0017349B">
        <w:t>Der Beistand agierte als verlängerter Arm des Gefährders oder des Gerichts, statt die Interessen des Kindes unabhängig zu vertreten.</w:t>
      </w:r>
    </w:p>
    <w:p w14:paraId="244FE900" w14:textId="77777777" w:rsidR="00D1628F" w:rsidRPr="00D1628F" w:rsidRDefault="00D1628F" w:rsidP="00D1628F">
      <w:pPr>
        <w:numPr>
          <w:ilvl w:val="0"/>
          <w:numId w:val="24"/>
        </w:numPr>
      </w:pPr>
      <w:proofErr w:type="gramStart"/>
      <w:r w:rsidRPr="00D1628F">
        <w:rPr>
          <w:b/>
          <w:bCs/>
        </w:rPr>
        <w:t>[ ]</w:t>
      </w:r>
      <w:proofErr w:type="gramEnd"/>
      <w:r w:rsidRPr="00D1628F">
        <w:rPr>
          <w:b/>
          <w:bCs/>
        </w:rPr>
        <w:t xml:space="preserve"> Gefährdung durch Institutionen:</w:t>
      </w:r>
      <w:r w:rsidRPr="00D1628F">
        <w:t xml:space="preserve"> Das Kind wurde gegen seinen Willen und ohne Sicherheitskonzept zu Kontakten gezwungen.</w:t>
      </w:r>
    </w:p>
    <w:p w14:paraId="34F2FA17" w14:textId="6BA53068" w:rsidR="0017349B" w:rsidRPr="000A54EB" w:rsidRDefault="00D1628F" w:rsidP="00D1628F">
      <w:pPr>
        <w:numPr>
          <w:ilvl w:val="0"/>
          <w:numId w:val="24"/>
        </w:numPr>
        <w:rPr>
          <w:b/>
          <w:bCs/>
        </w:rPr>
      </w:pPr>
      <w:proofErr w:type="gramStart"/>
      <w:r w:rsidRPr="00D1628F">
        <w:rPr>
          <w:b/>
          <w:bCs/>
        </w:rPr>
        <w:t>[ ]</w:t>
      </w:r>
      <w:proofErr w:type="gramEnd"/>
      <w:r w:rsidRPr="00D1628F">
        <w:rPr>
          <w:b/>
          <w:bCs/>
        </w:rPr>
        <w:t xml:space="preserve"> Mangelnde Berücksichtigung von Traumata:</w:t>
      </w:r>
      <w:r w:rsidRPr="00D1628F">
        <w:t xml:space="preserve"> </w:t>
      </w:r>
      <w:r w:rsidR="0017349B" w:rsidRPr="0017349B">
        <w:t xml:space="preserve">Offensichtliche Angstsymptome oder psychosomatische Reaktionen des Kindes wurden im </w:t>
      </w:r>
      <w:r w:rsidR="0017349B">
        <w:t>Gutachten/Bericht</w:t>
      </w:r>
      <w:r w:rsidR="0017349B" w:rsidRPr="0017349B">
        <w:t xml:space="preserve"> ignoriert oder verharmlost</w:t>
      </w:r>
      <w:r w:rsidR="0017349B">
        <w:t>.</w:t>
      </w:r>
    </w:p>
    <w:p w14:paraId="1E4A1153" w14:textId="759FFF82" w:rsidR="000A54EB" w:rsidRPr="000A54EB" w:rsidRDefault="000A54EB" w:rsidP="00D1628F">
      <w:pPr>
        <w:numPr>
          <w:ilvl w:val="0"/>
          <w:numId w:val="24"/>
        </w:numPr>
        <w:rPr>
          <w:b/>
          <w:bCs/>
        </w:rPr>
      </w:pPr>
      <w:r w:rsidRPr="000A54EB">
        <w:rPr>
          <w:b/>
          <w:bCs/>
        </w:rPr>
        <w:t>Exploration</w:t>
      </w:r>
      <w:r>
        <w:t>: Wurden alle relevanten Personen (</w:t>
      </w:r>
      <w:proofErr w:type="spellStart"/>
      <w:proofErr w:type="gramStart"/>
      <w:r>
        <w:t>Lehrer:innen</w:t>
      </w:r>
      <w:proofErr w:type="spellEnd"/>
      <w:proofErr w:type="gramEnd"/>
      <w:r>
        <w:t xml:space="preserve">, </w:t>
      </w:r>
      <w:proofErr w:type="spellStart"/>
      <w:proofErr w:type="gramStart"/>
      <w:r>
        <w:t>Kinderärzt:innen</w:t>
      </w:r>
      <w:proofErr w:type="spellEnd"/>
      <w:proofErr w:type="gramEnd"/>
      <w:r>
        <w:t xml:space="preserve">, </w:t>
      </w:r>
      <w:proofErr w:type="spellStart"/>
      <w:proofErr w:type="gramStart"/>
      <w:r>
        <w:t>Therapeut:innen</w:t>
      </w:r>
      <w:proofErr w:type="spellEnd"/>
      <w:proofErr w:type="gramEnd"/>
      <w:r>
        <w:t>) einbezogen, oder basieren Empfehlungen von Beiständen oder Gutachten von Sachverständigen auf einer selektiven Wahrnehmung?</w:t>
      </w:r>
    </w:p>
    <w:p w14:paraId="7B4E7046" w14:textId="77777777" w:rsidR="0017349B" w:rsidRPr="0017349B" w:rsidRDefault="00D1628F" w:rsidP="0017349B">
      <w:pPr>
        <w:rPr>
          <w:b/>
          <w:bCs/>
        </w:rPr>
      </w:pPr>
      <w:r w:rsidRPr="00D1628F">
        <w:rPr>
          <w:b/>
          <w:bCs/>
        </w:rPr>
        <w:t xml:space="preserve">Säule 4: </w:t>
      </w:r>
      <w:r w:rsidR="0017349B" w:rsidRPr="0017349B">
        <w:rPr>
          <w:b/>
          <w:bCs/>
        </w:rPr>
        <w:t>Prozessuale Gewalt &amp; Verletzung des Rechtsstaatsprinzips</w:t>
      </w:r>
    </w:p>
    <w:p w14:paraId="1A0F96A0" w14:textId="35D3EF3B" w:rsidR="0017349B" w:rsidRPr="00282F30" w:rsidRDefault="0017349B" w:rsidP="00282F30">
      <w:pPr>
        <w:numPr>
          <w:ilvl w:val="0"/>
          <w:numId w:val="25"/>
        </w:numPr>
        <w:rPr>
          <w:b/>
          <w:bCs/>
        </w:rPr>
      </w:pPr>
      <w:proofErr w:type="gramStart"/>
      <w:r w:rsidRPr="0017349B">
        <w:rPr>
          <w:b/>
          <w:bCs/>
        </w:rPr>
        <w:t>[ ]</w:t>
      </w:r>
      <w:proofErr w:type="gramEnd"/>
      <w:r w:rsidRPr="0017349B">
        <w:rPr>
          <w:b/>
          <w:bCs/>
        </w:rPr>
        <w:t xml:space="preserve"> Verletzung des rechtlichen Gehörs (Parteiengehör)</w:t>
      </w:r>
      <w:r w:rsidRPr="00282F30">
        <w:rPr>
          <w:b/>
          <w:bCs/>
        </w:rPr>
        <w:t xml:space="preserve">: </w:t>
      </w:r>
      <w:r w:rsidRPr="00282F30">
        <w:t xml:space="preserve">Beweisanträge, Fachstellungnahmen oder ärztliche Atteste wurden im Verfahren </w:t>
      </w:r>
      <w:r w:rsidR="000A54EB" w:rsidRPr="000A54EB">
        <w:t>systematisch abgelehnt</w:t>
      </w:r>
      <w:r w:rsidR="000A54EB">
        <w:t>,</w:t>
      </w:r>
      <w:r w:rsidR="000A54EB" w:rsidRPr="000A54EB">
        <w:t xml:space="preserve"> </w:t>
      </w:r>
      <w:r w:rsidRPr="00282F30">
        <w:t>nicht gewürdigt oder ignoriert.</w:t>
      </w:r>
    </w:p>
    <w:p w14:paraId="4F7512B2" w14:textId="62D74C1A" w:rsidR="0017349B" w:rsidRPr="00282F30" w:rsidRDefault="0017349B" w:rsidP="00282F30">
      <w:pPr>
        <w:numPr>
          <w:ilvl w:val="0"/>
          <w:numId w:val="25"/>
        </w:numPr>
      </w:pPr>
      <w:proofErr w:type="gramStart"/>
      <w:r w:rsidRPr="0017349B">
        <w:rPr>
          <w:b/>
          <w:bCs/>
        </w:rPr>
        <w:t>[ ]</w:t>
      </w:r>
      <w:proofErr w:type="gramEnd"/>
      <w:r w:rsidRPr="0017349B">
        <w:rPr>
          <w:b/>
          <w:bCs/>
        </w:rPr>
        <w:t xml:space="preserve"> Faktische Vereitelung von Rechtsmitteln</w:t>
      </w:r>
      <w:r w:rsidR="00282F30">
        <w:rPr>
          <w:b/>
          <w:bCs/>
        </w:rPr>
        <w:t xml:space="preserve"> &amp; </w:t>
      </w:r>
      <w:r w:rsidR="00282F30" w:rsidRPr="00282F30">
        <w:rPr>
          <w:b/>
          <w:bCs/>
        </w:rPr>
        <w:t>Präjudizierung durch Zeitdruck</w:t>
      </w:r>
      <w:r w:rsidRPr="00282F30">
        <w:rPr>
          <w:b/>
          <w:bCs/>
        </w:rPr>
        <w:t xml:space="preserve">: </w:t>
      </w:r>
      <w:r w:rsidRPr="00282F30">
        <w:t>Beschlüsse (z. B. zu Ferienumgängen) ergingen so kurzfristig vor dem Ereignis, dass Eilrechtsschutz oder Beschwerden zeitlich nicht mehr berücksichtigt werden konnten.</w:t>
      </w:r>
    </w:p>
    <w:p w14:paraId="69EDC553" w14:textId="2E39BB83" w:rsidR="00282F30" w:rsidRDefault="0017349B" w:rsidP="00282F30">
      <w:pPr>
        <w:pStyle w:val="Listenabsatz"/>
        <w:numPr>
          <w:ilvl w:val="0"/>
          <w:numId w:val="25"/>
        </w:numPr>
      </w:pPr>
      <w:proofErr w:type="gramStart"/>
      <w:r w:rsidRPr="00282F30">
        <w:rPr>
          <w:b/>
          <w:bCs/>
        </w:rPr>
        <w:t>[ ]</w:t>
      </w:r>
      <w:proofErr w:type="gramEnd"/>
      <w:r w:rsidRPr="00282F30">
        <w:rPr>
          <w:b/>
          <w:bCs/>
        </w:rPr>
        <w:t xml:space="preserve"> </w:t>
      </w:r>
      <w:r w:rsidR="00282F30" w:rsidRPr="00282F30">
        <w:rPr>
          <w:b/>
          <w:bCs/>
        </w:rPr>
        <w:t>Institutionelle Befangenheit</w:t>
      </w:r>
      <w:r w:rsidR="000A54EB">
        <w:rPr>
          <w:b/>
          <w:bCs/>
        </w:rPr>
        <w:t xml:space="preserve"> &amp; Rollenkonflikte</w:t>
      </w:r>
      <w:r w:rsidR="00282F30" w:rsidRPr="00282F30">
        <w:rPr>
          <w:b/>
          <w:bCs/>
        </w:rPr>
        <w:t xml:space="preserve">: </w:t>
      </w:r>
      <w:r w:rsidR="000A54EB" w:rsidRPr="000A54EB">
        <w:t xml:space="preserve">Gab es eine unzulässige Nähe zwischen den </w:t>
      </w:r>
      <w:proofErr w:type="spellStart"/>
      <w:proofErr w:type="gramStart"/>
      <w:r w:rsidR="000A54EB" w:rsidRPr="000A54EB">
        <w:t>Akteur</w:t>
      </w:r>
      <w:r w:rsidR="000A54EB">
        <w:t>:inne</w:t>
      </w:r>
      <w:r w:rsidR="000A54EB" w:rsidRPr="000A54EB">
        <w:t>n</w:t>
      </w:r>
      <w:proofErr w:type="spellEnd"/>
      <w:proofErr w:type="gramEnd"/>
      <w:r w:rsidR="000A54EB" w:rsidRPr="000A54EB">
        <w:t xml:space="preserve"> (z. B. wenn </w:t>
      </w:r>
      <w:proofErr w:type="spellStart"/>
      <w:proofErr w:type="gramStart"/>
      <w:r w:rsidR="000A54EB" w:rsidRPr="000A54EB">
        <w:t>Gutachter:innen</w:t>
      </w:r>
      <w:proofErr w:type="spellEnd"/>
      <w:proofErr w:type="gramEnd"/>
      <w:r w:rsidR="000A54EB" w:rsidRPr="000A54EB">
        <w:t xml:space="preserve"> gleichzeitig für beteiligte Trägervereine arbeiten).</w:t>
      </w:r>
      <w:r w:rsidR="000A54EB">
        <w:t xml:space="preserve"> Gab es </w:t>
      </w:r>
      <w:r w:rsidR="00282F30" w:rsidRPr="00315B73">
        <w:t xml:space="preserve">Absprachen oder einseitige Informationsflüsse zwischen den </w:t>
      </w:r>
      <w:proofErr w:type="spellStart"/>
      <w:proofErr w:type="gramStart"/>
      <w:r w:rsidR="00282F30" w:rsidRPr="00315B73">
        <w:t>Akteur</w:t>
      </w:r>
      <w:r w:rsidR="00315B73">
        <w:t>:inn</w:t>
      </w:r>
      <w:r w:rsidR="00282F30" w:rsidRPr="00315B73">
        <w:t>en</w:t>
      </w:r>
      <w:proofErr w:type="spellEnd"/>
      <w:proofErr w:type="gramEnd"/>
      <w:r w:rsidR="00315B73" w:rsidRPr="00315B73">
        <w:t xml:space="preserve"> </w:t>
      </w:r>
      <w:r w:rsidR="00315B73" w:rsidRPr="00282F30">
        <w:t>ohne Protokollierung</w:t>
      </w:r>
      <w:r w:rsidR="000A54EB">
        <w:t>?</w:t>
      </w:r>
    </w:p>
    <w:p w14:paraId="6474BA41" w14:textId="02EC2602" w:rsidR="00282F30" w:rsidRPr="00282F30" w:rsidRDefault="00282F30" w:rsidP="00282F30">
      <w:pPr>
        <w:rPr>
          <w:b/>
          <w:bCs/>
        </w:rPr>
      </w:pPr>
      <w:r w:rsidRPr="00282F30">
        <w:rPr>
          <w:b/>
          <w:bCs/>
        </w:rPr>
        <w:lastRenderedPageBreak/>
        <w:t xml:space="preserve">Säule 5: Ökonomische Zerstörung &amp; </w:t>
      </w:r>
      <w:r>
        <w:rPr>
          <w:b/>
          <w:bCs/>
        </w:rPr>
        <w:t>f</w:t>
      </w:r>
      <w:r w:rsidRPr="00282F30">
        <w:rPr>
          <w:b/>
          <w:bCs/>
        </w:rPr>
        <w:t>inanzieller Missbrauch</w:t>
      </w:r>
    </w:p>
    <w:p w14:paraId="6D1A2DF2" w14:textId="387AC7D6" w:rsidR="00282F30" w:rsidRPr="00282F30" w:rsidRDefault="00282F30" w:rsidP="00282F30">
      <w:pPr>
        <w:numPr>
          <w:ilvl w:val="0"/>
          <w:numId w:val="28"/>
        </w:numPr>
      </w:pPr>
      <w:proofErr w:type="gramStart"/>
      <w:r w:rsidRPr="00282F30">
        <w:rPr>
          <w:b/>
          <w:bCs/>
        </w:rPr>
        <w:t>[ ]</w:t>
      </w:r>
      <w:proofErr w:type="gramEnd"/>
      <w:r w:rsidRPr="00282F30">
        <w:rPr>
          <w:b/>
          <w:bCs/>
        </w:rPr>
        <w:t xml:space="preserve"> Mutwillige Verfahrensführung:</w:t>
      </w:r>
      <w:r w:rsidRPr="00282F30">
        <w:t xml:space="preserve"> Die finanziell überlegene Gegenseite flutet das System mit Anträgen und Beschwerden, um die Mutter wirtschaftlich zu ruinieren.</w:t>
      </w:r>
    </w:p>
    <w:p w14:paraId="2061910E" w14:textId="59511D8E" w:rsidR="00282F30" w:rsidRPr="00282F30" w:rsidRDefault="00282F30" w:rsidP="00282F30">
      <w:pPr>
        <w:numPr>
          <w:ilvl w:val="0"/>
          <w:numId w:val="28"/>
        </w:numPr>
      </w:pPr>
      <w:proofErr w:type="gramStart"/>
      <w:r w:rsidRPr="00282F30">
        <w:rPr>
          <w:b/>
          <w:bCs/>
        </w:rPr>
        <w:t>[ ]</w:t>
      </w:r>
      <w:proofErr w:type="gramEnd"/>
      <w:r w:rsidRPr="00282F30">
        <w:rPr>
          <w:b/>
          <w:bCs/>
        </w:rPr>
        <w:t xml:space="preserve"> Strategische Kostenmaximierung:</w:t>
      </w:r>
      <w:r w:rsidRPr="00282F30">
        <w:t xml:space="preserve"> Anordnung teurer Gutachten oder privater Träger (Umgangsbegleitung), deren Kosten die Mutter unverhältnismäßig belasten.</w:t>
      </w:r>
    </w:p>
    <w:p w14:paraId="5A068E8A" w14:textId="77777777" w:rsidR="00282F30" w:rsidRPr="00282F30" w:rsidRDefault="00282F30" w:rsidP="00282F30">
      <w:pPr>
        <w:numPr>
          <w:ilvl w:val="0"/>
          <w:numId w:val="28"/>
        </w:numPr>
      </w:pPr>
      <w:proofErr w:type="gramStart"/>
      <w:r w:rsidRPr="00282F30">
        <w:rPr>
          <w:b/>
          <w:bCs/>
        </w:rPr>
        <w:t>[ ]</w:t>
      </w:r>
      <w:proofErr w:type="gramEnd"/>
      <w:r w:rsidRPr="00282F30">
        <w:rPr>
          <w:b/>
          <w:bCs/>
        </w:rPr>
        <w:t xml:space="preserve"> Erosion der Erwerbsfähigkeit:</w:t>
      </w:r>
      <w:r w:rsidRPr="00282F30">
        <w:t xml:space="preserve"> Verfahrensbedingte Hinderung an der Arbeit durch exzessive Termindichte, psychische Zermürbung und mangelnde Planbarkeit.</w:t>
      </w:r>
    </w:p>
    <w:p w14:paraId="489736C6" w14:textId="77777777" w:rsidR="00282F30" w:rsidRPr="00282F30" w:rsidRDefault="00282F30" w:rsidP="00282F30">
      <w:pPr>
        <w:numPr>
          <w:ilvl w:val="0"/>
          <w:numId w:val="28"/>
        </w:numPr>
      </w:pPr>
      <w:proofErr w:type="gramStart"/>
      <w:r w:rsidRPr="00282F30">
        <w:rPr>
          <w:b/>
          <w:bCs/>
        </w:rPr>
        <w:t>[ ]</w:t>
      </w:r>
      <w:proofErr w:type="gramEnd"/>
      <w:r w:rsidRPr="00282F30">
        <w:rPr>
          <w:b/>
          <w:bCs/>
        </w:rPr>
        <w:t xml:space="preserve"> Missbrauch der Verfahrenskostenhilfe:</w:t>
      </w:r>
      <w:r w:rsidRPr="00282F30">
        <w:t xml:space="preserve"> Drohung der Gegenseite mit Kostenfolgen, um die Mutter zur Rücknahme von Schutzanträgen zu zwingen.</w:t>
      </w:r>
    </w:p>
    <w:p w14:paraId="6C1D2052" w14:textId="77777777" w:rsidR="00282F30" w:rsidRPr="00282F30" w:rsidRDefault="00000000" w:rsidP="00282F30">
      <w:r>
        <w:pict w14:anchorId="5B72E149">
          <v:rect id="_x0000_i1028" style="width:0;height:1.5pt" o:hralign="center" o:hrstd="t" o:hr="t" fillcolor="#a0a0a0" stroked="f"/>
        </w:pict>
      </w:r>
    </w:p>
    <w:p w14:paraId="346DD430" w14:textId="30D1D3A4" w:rsidR="00282F30" w:rsidRPr="00282F30" w:rsidRDefault="00282F30" w:rsidP="00C611DE">
      <w:pPr>
        <w:pStyle w:val="Untertitel"/>
      </w:pPr>
      <w:r w:rsidRPr="00282F30">
        <w:t>4. Reformbedarf &amp; Verbesserungsvorschläge</w:t>
      </w:r>
    </w:p>
    <w:p w14:paraId="74720C94" w14:textId="767776EE" w:rsidR="00282F30" w:rsidRPr="00282F30" w:rsidRDefault="00282F30" w:rsidP="00282F30">
      <w:r w:rsidRPr="00282F30">
        <w:rPr>
          <w:i/>
          <w:iCs/>
        </w:rPr>
        <w:t xml:space="preserve">Was hätte in Ihrem Fall den entscheidenden Unterschied gemacht? </w:t>
      </w:r>
      <w:r w:rsidR="00315B73">
        <w:rPr>
          <w:i/>
          <w:iCs/>
        </w:rPr>
        <w:t xml:space="preserve">Was wünschen Sie sich? </w:t>
      </w:r>
      <w:r w:rsidRPr="00282F30">
        <w:rPr>
          <w:i/>
          <w:iCs/>
        </w:rPr>
        <w:t>(Bitte ankreuzen oder ergänzen)</w:t>
      </w:r>
    </w:p>
    <w:p w14:paraId="56596D1F" w14:textId="03B41129" w:rsidR="00282F30" w:rsidRPr="00282F30" w:rsidRDefault="00282F30" w:rsidP="00282F30">
      <w:pPr>
        <w:numPr>
          <w:ilvl w:val="0"/>
          <w:numId w:val="29"/>
        </w:numPr>
      </w:pPr>
      <w:proofErr w:type="gramStart"/>
      <w:r w:rsidRPr="00282F30">
        <w:rPr>
          <w:b/>
          <w:bCs/>
        </w:rPr>
        <w:t>[ ]</w:t>
      </w:r>
      <w:proofErr w:type="gramEnd"/>
      <w:r w:rsidRPr="00282F30">
        <w:rPr>
          <w:b/>
          <w:bCs/>
        </w:rPr>
        <w:t xml:space="preserve"> Spezialisierung der </w:t>
      </w:r>
      <w:proofErr w:type="spellStart"/>
      <w:proofErr w:type="gramStart"/>
      <w:r w:rsidRPr="00282F30">
        <w:rPr>
          <w:b/>
          <w:bCs/>
        </w:rPr>
        <w:t>Richter</w:t>
      </w:r>
      <w:r w:rsidR="00315B73">
        <w:rPr>
          <w:b/>
          <w:bCs/>
        </w:rPr>
        <w:t>:innen</w:t>
      </w:r>
      <w:r w:rsidRPr="00282F30">
        <w:rPr>
          <w:b/>
          <w:bCs/>
        </w:rPr>
        <w:t>schaft</w:t>
      </w:r>
      <w:proofErr w:type="spellEnd"/>
      <w:proofErr w:type="gramEnd"/>
      <w:r w:rsidRPr="00282F30">
        <w:rPr>
          <w:b/>
          <w:bCs/>
        </w:rPr>
        <w:t>:</w:t>
      </w:r>
      <w:r w:rsidRPr="00282F30">
        <w:t xml:space="preserve"> Verpflichtende, zertifizierte Fortbildungen zu Gewaltdynamiken und Trauma</w:t>
      </w:r>
      <w:r>
        <w:t>ta</w:t>
      </w:r>
      <w:r w:rsidRPr="00282F30">
        <w:t xml:space="preserve"> für alle </w:t>
      </w:r>
      <w:proofErr w:type="spellStart"/>
      <w:proofErr w:type="gramStart"/>
      <w:r w:rsidRPr="00282F30">
        <w:t>Familienrichter</w:t>
      </w:r>
      <w:r>
        <w:t>:innen</w:t>
      </w:r>
      <w:proofErr w:type="spellEnd"/>
      <w:proofErr w:type="gramEnd"/>
      <w:r w:rsidRPr="00282F30">
        <w:t>.</w:t>
      </w:r>
    </w:p>
    <w:p w14:paraId="3FBC12B5" w14:textId="77777777" w:rsidR="00282F30" w:rsidRPr="00282F30" w:rsidRDefault="00282F30" w:rsidP="00282F30">
      <w:pPr>
        <w:numPr>
          <w:ilvl w:val="0"/>
          <w:numId w:val="29"/>
        </w:numPr>
      </w:pPr>
      <w:proofErr w:type="gramStart"/>
      <w:r w:rsidRPr="00282F30">
        <w:rPr>
          <w:b/>
          <w:bCs/>
        </w:rPr>
        <w:t>[ ]</w:t>
      </w:r>
      <w:proofErr w:type="gramEnd"/>
      <w:r w:rsidRPr="00282F30">
        <w:rPr>
          <w:b/>
          <w:bCs/>
        </w:rPr>
        <w:t xml:space="preserve"> Monitoring von Kinderbeiständen:</w:t>
      </w:r>
      <w:r w:rsidRPr="00282F30">
        <w:t xml:space="preserve"> Einführung einer unabhängigen Aufsichtsstelle und verbindlicher Qualitätsstandards für Beistände.</w:t>
      </w:r>
    </w:p>
    <w:p w14:paraId="2D26786E" w14:textId="77777777" w:rsidR="00282F30" w:rsidRPr="00282F30" w:rsidRDefault="00282F30" w:rsidP="00282F30">
      <w:pPr>
        <w:numPr>
          <w:ilvl w:val="0"/>
          <w:numId w:val="29"/>
        </w:numPr>
      </w:pPr>
      <w:proofErr w:type="gramStart"/>
      <w:r w:rsidRPr="00282F30">
        <w:rPr>
          <w:b/>
          <w:bCs/>
        </w:rPr>
        <w:t>[ ]</w:t>
      </w:r>
      <w:proofErr w:type="gramEnd"/>
      <w:r w:rsidRPr="00282F30">
        <w:rPr>
          <w:b/>
          <w:bCs/>
        </w:rPr>
        <w:t xml:space="preserve"> Verbot von PAS-Argumentation:</w:t>
      </w:r>
      <w:r w:rsidRPr="00282F30">
        <w:t xml:space="preserve"> Gesetzlicher Ausschluss pseudowissenschaftlicher Entfremdungstheorien in gerichtlichen Gutachten.</w:t>
      </w:r>
    </w:p>
    <w:p w14:paraId="37E6E329" w14:textId="77777777" w:rsidR="00282F30" w:rsidRPr="00282F30" w:rsidRDefault="00282F30" w:rsidP="00282F30">
      <w:pPr>
        <w:numPr>
          <w:ilvl w:val="0"/>
          <w:numId w:val="29"/>
        </w:numPr>
      </w:pPr>
      <w:proofErr w:type="gramStart"/>
      <w:r w:rsidRPr="00282F30">
        <w:rPr>
          <w:b/>
          <w:bCs/>
        </w:rPr>
        <w:t>[ ]</w:t>
      </w:r>
      <w:proofErr w:type="gramEnd"/>
      <w:r w:rsidRPr="00282F30">
        <w:rPr>
          <w:b/>
          <w:bCs/>
        </w:rPr>
        <w:t xml:space="preserve"> Kostenstopp bei Missbrauch:</w:t>
      </w:r>
      <w:r w:rsidRPr="00282F30">
        <w:t xml:space="preserve"> Sanktionierung von mutwilliger Verfahrensführung durch Kostenauferlegung an den Verursacher (Gegenseite).</w:t>
      </w:r>
    </w:p>
    <w:p w14:paraId="2FA57583" w14:textId="596413AB" w:rsidR="00282F30" w:rsidRPr="00282F30" w:rsidRDefault="00282F30" w:rsidP="00282F30">
      <w:pPr>
        <w:numPr>
          <w:ilvl w:val="0"/>
          <w:numId w:val="29"/>
        </w:numPr>
      </w:pPr>
      <w:proofErr w:type="gramStart"/>
      <w:r w:rsidRPr="00282F30">
        <w:rPr>
          <w:b/>
          <w:bCs/>
        </w:rPr>
        <w:t>[ ]</w:t>
      </w:r>
      <w:proofErr w:type="gramEnd"/>
      <w:r w:rsidRPr="00282F30">
        <w:rPr>
          <w:b/>
          <w:bCs/>
        </w:rPr>
        <w:t xml:space="preserve"> Implementierung der Istanbul-Konvention:</w:t>
      </w:r>
      <w:r w:rsidRPr="00282F30">
        <w:t xml:space="preserve"> Vorrang des Gewaltschutzes vor dem Umgangs</w:t>
      </w:r>
      <w:r>
        <w:t>- und Vater</w:t>
      </w:r>
      <w:r w:rsidRPr="00282F30">
        <w:t>recht in der gesetzlichen Normierung.</w:t>
      </w:r>
    </w:p>
    <w:p w14:paraId="7999DF5A" w14:textId="77777777" w:rsidR="00282F30" w:rsidRPr="00282F30" w:rsidRDefault="00282F30" w:rsidP="00282F30">
      <w:pPr>
        <w:numPr>
          <w:ilvl w:val="0"/>
          <w:numId w:val="29"/>
        </w:numPr>
      </w:pPr>
      <w:proofErr w:type="gramStart"/>
      <w:r w:rsidRPr="00282F30">
        <w:rPr>
          <w:b/>
          <w:bCs/>
        </w:rPr>
        <w:t>[ ]</w:t>
      </w:r>
      <w:proofErr w:type="gramEnd"/>
      <w:r w:rsidRPr="00282F30">
        <w:rPr>
          <w:b/>
          <w:bCs/>
        </w:rPr>
        <w:t xml:space="preserve"> Recht auf Zweitgutachten:</w:t>
      </w:r>
      <w:r w:rsidRPr="00282F30">
        <w:t xml:space="preserve"> Unkomplizierte Möglichkeit zur Überprüfung methodisch mangelhafter Sachverständigengutachten.</w:t>
      </w:r>
    </w:p>
    <w:p w14:paraId="1F1A8BD0" w14:textId="258854F1" w:rsidR="00282F30" w:rsidRDefault="00282F30" w:rsidP="00282F30">
      <w:pPr>
        <w:numPr>
          <w:ilvl w:val="0"/>
          <w:numId w:val="29"/>
        </w:numPr>
      </w:pPr>
      <w:proofErr w:type="gramStart"/>
      <w:r w:rsidRPr="00282F30">
        <w:rPr>
          <w:b/>
          <w:bCs/>
        </w:rPr>
        <w:t>[ ]</w:t>
      </w:r>
      <w:proofErr w:type="gramEnd"/>
      <w:r w:rsidRPr="00282F30">
        <w:rPr>
          <w:b/>
          <w:bCs/>
        </w:rPr>
        <w:t xml:space="preserve"> Sonstige Vorschl</w:t>
      </w:r>
      <w:r>
        <w:rPr>
          <w:b/>
          <w:bCs/>
        </w:rPr>
        <w:t>ä</w:t>
      </w:r>
      <w:r w:rsidRPr="00282F30">
        <w:rPr>
          <w:b/>
          <w:bCs/>
        </w:rPr>
        <w:t>g</w:t>
      </w:r>
      <w:r>
        <w:rPr>
          <w:b/>
          <w:bCs/>
        </w:rPr>
        <w:t>e</w:t>
      </w:r>
      <w:r w:rsidRPr="00282F30">
        <w:rPr>
          <w:b/>
          <w:bCs/>
        </w:rPr>
        <w:t>:</w:t>
      </w:r>
      <w:r w:rsidRPr="00282F30">
        <w:t xml:space="preserve"> __________________________________________________________</w:t>
      </w:r>
    </w:p>
    <w:p w14:paraId="6E236870" w14:textId="18D87446" w:rsidR="00282F30" w:rsidRPr="00282F30" w:rsidRDefault="00282F30" w:rsidP="00282F30">
      <w:pPr>
        <w:ind w:left="720"/>
      </w:pPr>
      <w:r w:rsidRPr="00282F30">
        <w:t>__________________________________________________________</w:t>
      </w:r>
    </w:p>
    <w:p w14:paraId="587277D0" w14:textId="77777777" w:rsidR="00282F30" w:rsidRPr="00282F30" w:rsidRDefault="00000000" w:rsidP="00282F30">
      <w:r>
        <w:pict w14:anchorId="61399239">
          <v:rect id="_x0000_i1029" style="width:0;height:1.5pt" o:hralign="center" o:hrstd="t" o:hr="t" fillcolor="#a0a0a0" stroked="f"/>
        </w:pict>
      </w:r>
    </w:p>
    <w:p w14:paraId="3A6B4AD1" w14:textId="72757984" w:rsidR="00282F30" w:rsidRPr="00282F30" w:rsidRDefault="00282F30" w:rsidP="00C611DE">
      <w:pPr>
        <w:pStyle w:val="Untertitel"/>
      </w:pPr>
      <w:r w:rsidRPr="00282F30">
        <w:t>5. Fallbeschreibung &amp; Verifizierung</w:t>
      </w:r>
    </w:p>
    <w:p w14:paraId="41220F1D" w14:textId="3E9D0118" w:rsidR="00282F30" w:rsidRDefault="00282F30" w:rsidP="00282F30">
      <w:pPr>
        <w:rPr>
          <w:i/>
          <w:iCs/>
        </w:rPr>
      </w:pPr>
      <w:r w:rsidRPr="00282F30">
        <w:rPr>
          <w:i/>
          <w:iCs/>
        </w:rPr>
        <w:t xml:space="preserve">Beschreiben Sie hier prägnant das Kernfehlverhalten der </w:t>
      </w:r>
      <w:proofErr w:type="spellStart"/>
      <w:proofErr w:type="gramStart"/>
      <w:r w:rsidR="00C611DE">
        <w:rPr>
          <w:i/>
          <w:iCs/>
        </w:rPr>
        <w:t>Akteur:innen</w:t>
      </w:r>
      <w:proofErr w:type="spellEnd"/>
      <w:proofErr w:type="gramEnd"/>
      <w:r w:rsidR="000A54EB">
        <w:rPr>
          <w:i/>
          <w:iCs/>
        </w:rPr>
        <w:t xml:space="preserve"> und gehen Sie auf die von Ihnen angekreuzten Missstände ein</w:t>
      </w:r>
      <w:r w:rsidRPr="00282F30">
        <w:rPr>
          <w:i/>
          <w:iCs/>
        </w:rPr>
        <w:t xml:space="preserve">. </w:t>
      </w:r>
      <w:r>
        <w:rPr>
          <w:i/>
          <w:iCs/>
        </w:rPr>
        <w:t xml:space="preserve">Legen Sie den </w:t>
      </w:r>
      <w:r w:rsidRPr="00282F30">
        <w:rPr>
          <w:i/>
          <w:iCs/>
        </w:rPr>
        <w:t>Fokus auf Methodik</w:t>
      </w:r>
      <w:r>
        <w:rPr>
          <w:i/>
          <w:iCs/>
        </w:rPr>
        <w:t>/Muster</w:t>
      </w:r>
      <w:r w:rsidRPr="00282F30">
        <w:rPr>
          <w:i/>
          <w:iCs/>
        </w:rPr>
        <w:t xml:space="preserve"> und Rechtsverletzungen:</w:t>
      </w:r>
    </w:p>
    <w:p w14:paraId="003C23C3" w14:textId="77777777" w:rsidR="00315B73" w:rsidRPr="00315B73" w:rsidRDefault="00315B73" w:rsidP="00315B73">
      <w:pPr>
        <w:numPr>
          <w:ilvl w:val="0"/>
          <w:numId w:val="9"/>
        </w:numPr>
      </w:pPr>
      <w:r w:rsidRPr="00315B73">
        <w:rPr>
          <w:i/>
          <w:iCs/>
        </w:rPr>
        <w:t>Beispiel: „Trotz vorliegender Atteste über körperliche Gewalt durch den Vater entschied Richter X im Gutachten von Y, dass ‚Bindungstoleranz‘ schwerer wiege als der Gewaltschutz.“</w:t>
      </w:r>
    </w:p>
    <w:p w14:paraId="61ACCBA7" w14:textId="77777777" w:rsidR="00315B73" w:rsidRPr="00315B73" w:rsidRDefault="00000000" w:rsidP="00C611DE">
      <w:pPr>
        <w:spacing w:after="0" w:line="240" w:lineRule="auto"/>
      </w:pPr>
      <w:r>
        <w:pict w14:anchorId="235292D0">
          <v:rect id="_x0000_i1030" style="width:0;height:1.5pt" o:hralign="center" o:hrstd="t" o:hr="t" fillcolor="#a0a0a0" stroked="f"/>
        </w:pict>
      </w:r>
    </w:p>
    <w:p w14:paraId="3D0DB589" w14:textId="77777777" w:rsidR="00315B73" w:rsidRPr="00315B73" w:rsidRDefault="00000000" w:rsidP="00C611DE">
      <w:pPr>
        <w:spacing w:after="0" w:line="240" w:lineRule="auto"/>
      </w:pPr>
      <w:r>
        <w:pict w14:anchorId="31D6F986">
          <v:rect id="_x0000_i1031" style="width:0;height:1.5pt" o:hralign="center" o:hrstd="t" o:hr="t" fillcolor="#a0a0a0" stroked="f"/>
        </w:pict>
      </w:r>
    </w:p>
    <w:p w14:paraId="51FA29E0" w14:textId="77777777" w:rsidR="00315B73" w:rsidRPr="00315B73" w:rsidRDefault="00000000" w:rsidP="00C611DE">
      <w:pPr>
        <w:spacing w:after="0" w:line="240" w:lineRule="auto"/>
      </w:pPr>
      <w:r>
        <w:pict w14:anchorId="1F2F59DB">
          <v:rect id="_x0000_i1032" style="width:0;height:1.5pt" o:hralign="center" o:hrstd="t" o:hr="t" fillcolor="#a0a0a0" stroked="f"/>
        </w:pict>
      </w:r>
    </w:p>
    <w:p w14:paraId="05255FCE" w14:textId="77777777" w:rsidR="00315B73" w:rsidRPr="00315B73" w:rsidRDefault="00000000" w:rsidP="00C611DE">
      <w:pPr>
        <w:spacing w:after="0" w:line="240" w:lineRule="auto"/>
      </w:pPr>
      <w:r>
        <w:lastRenderedPageBreak/>
        <w:pict w14:anchorId="7696E7AB">
          <v:rect id="_x0000_i1033" style="width:0;height:1.5pt" o:hralign="center" o:hrstd="t" o:hr="t" fillcolor="#a0a0a0" stroked="f"/>
        </w:pict>
      </w:r>
    </w:p>
    <w:p w14:paraId="580E4470" w14:textId="6C6AD5D0" w:rsidR="00315B73" w:rsidRDefault="00000000" w:rsidP="00C611DE">
      <w:pPr>
        <w:spacing w:after="0" w:line="240" w:lineRule="auto"/>
      </w:pPr>
      <w:r>
        <w:pict w14:anchorId="16428568">
          <v:rect id="_x0000_i1034" style="width:0;height:1.5pt" o:hralign="center" o:bullet="t" o:hrstd="t" o:hr="t" fillcolor="#a0a0a0" stroked="f"/>
        </w:pict>
      </w:r>
      <w:r>
        <w:pict w14:anchorId="1104AB0B">
          <v:rect id="_x0000_i1035" style="width:0;height:1.5pt" o:hralign="center" o:hrstd="t" o:hr="t" fillcolor="#a0a0a0" stroked="f"/>
        </w:pict>
      </w:r>
      <w:r>
        <w:pict w14:anchorId="7B228AAD">
          <v:rect id="_x0000_i1036" style="width:0;height:1.5pt" o:hralign="center" o:hrstd="t" o:hr="t" fillcolor="#a0a0a0" stroked="f"/>
        </w:pict>
      </w:r>
      <w:r>
        <w:pict w14:anchorId="772F0C33">
          <v:rect id="_x0000_i1037" style="width:0;height:1.5pt" o:hralign="center" o:hrstd="t" o:hr="t" fillcolor="#a0a0a0" stroked="f"/>
        </w:pict>
      </w:r>
      <w:r>
        <w:pict w14:anchorId="62F3FC62">
          <v:rect id="_x0000_i1038" style="width:0;height:1.5pt" o:hralign="center" o:hrstd="t" o:hr="t" fillcolor="#a0a0a0" stroked="f"/>
        </w:pict>
      </w:r>
      <w:r>
        <w:pict w14:anchorId="45261F2E">
          <v:rect id="_x0000_i1039" style="width:0;height:1.5pt" o:hralign="center" o:hrstd="t" o:hr="t" fillcolor="#a0a0a0" stroked="f"/>
        </w:pict>
      </w:r>
      <w:r>
        <w:pict w14:anchorId="628710E9">
          <v:rect id="_x0000_i1040" style="width:0;height:1.5pt" o:hralign="center" o:hrstd="t" o:hr="t" fillcolor="#a0a0a0" stroked="f"/>
        </w:pict>
      </w:r>
      <w:r>
        <w:pict w14:anchorId="72A09561">
          <v:rect id="_x0000_i1041" style="width:0;height:1.5pt" o:hralign="center" o:hrstd="t" o:hr="t" fillcolor="#a0a0a0" stroked="f"/>
        </w:pict>
      </w:r>
      <w:r>
        <w:pict w14:anchorId="158FA92B">
          <v:rect id="_x0000_i1042" style="width:0;height:1.5pt" o:hralign="center" o:hrstd="t" o:hr="t" fillcolor="#a0a0a0" stroked="f"/>
        </w:pict>
      </w:r>
      <w:r>
        <w:pict w14:anchorId="4359A512">
          <v:rect id="_x0000_i1043" style="width:0;height:1.5pt" o:hralign="center" o:hrstd="t" o:hr="t" fillcolor="#a0a0a0" stroked="f"/>
        </w:pict>
      </w:r>
      <w:r>
        <w:pict w14:anchorId="611E8432">
          <v:rect id="_x0000_i1044" style="width:0;height:1.5pt" o:hralign="center" o:hrstd="t" o:hr="t" fillcolor="#a0a0a0" stroked="f"/>
        </w:pict>
      </w:r>
      <w:r>
        <w:pict w14:anchorId="6AC25824">
          <v:rect id="_x0000_i1045" style="width:0;height:1.5pt" o:hralign="center" o:hrstd="t" o:hr="t" fillcolor="#a0a0a0" stroked="f"/>
        </w:pict>
      </w:r>
      <w:r>
        <w:pict w14:anchorId="3CBC3F16">
          <v:rect id="_x0000_i1046" style="width:0;height:1.5pt" o:hralign="center" o:hrstd="t" o:hr="t" fillcolor="#a0a0a0" stroked="f"/>
        </w:pict>
      </w:r>
    </w:p>
    <w:p w14:paraId="73547328" w14:textId="54A097CD" w:rsidR="00D746BE" w:rsidRPr="00282F30" w:rsidRDefault="00000000" w:rsidP="00C611DE">
      <w:pPr>
        <w:spacing w:after="0" w:line="240" w:lineRule="auto"/>
      </w:pPr>
      <w:r>
        <w:pict w14:anchorId="1C83F142">
          <v:rect id="_x0000_i1047" style="width:0;height:1.5pt" o:hralign="center" o:hrstd="t" o:hr="t" fillcolor="#a0a0a0" stroked="f"/>
        </w:pict>
      </w:r>
      <w:r>
        <w:pict w14:anchorId="0CCB2488">
          <v:rect id="_x0000_i1048" style="width:0;height:1.5pt" o:hralign="center" o:hrstd="t" o:hr="t" fillcolor="#a0a0a0" stroked="f"/>
        </w:pict>
      </w:r>
      <w:r>
        <w:pict w14:anchorId="684527AE">
          <v:rect id="_x0000_i1049" style="width:0;height:1.5pt" o:hralign="center" o:hrstd="t" o:hr="t" fillcolor="#a0a0a0" stroked="f"/>
        </w:pict>
      </w:r>
      <w:r>
        <w:pict w14:anchorId="401039D8">
          <v:rect id="_x0000_i1050" style="width:0;height:1.5pt" o:hralign="center" o:hrstd="t" o:hr="t" fillcolor="#a0a0a0" stroked="f"/>
        </w:pict>
      </w:r>
      <w:r>
        <w:pict w14:anchorId="4987E211">
          <v:rect id="_x0000_i1051" style="width:0;height:1.5pt" o:hralign="center" o:hrstd="t" o:hr="t" fillcolor="#a0a0a0" stroked="f"/>
        </w:pict>
      </w:r>
      <w:r>
        <w:pict w14:anchorId="7CF894C4">
          <v:rect id="_x0000_i1052" style="width:0;height:1.5pt" o:hralign="center" o:hrstd="t" o:hr="t" fillcolor="#a0a0a0" stroked="f"/>
        </w:pict>
      </w:r>
      <w:r>
        <w:pict w14:anchorId="6770274D">
          <v:rect id="_x0000_i1053" style="width:0;height:1.5pt" o:hralign="center" o:hrstd="t" o:hr="t" fillcolor="#a0a0a0" stroked="f"/>
        </w:pict>
      </w:r>
    </w:p>
    <w:p w14:paraId="1FBE0E2E" w14:textId="77777777" w:rsidR="00D746BE" w:rsidRDefault="00D746BE" w:rsidP="00282F30">
      <w:pPr>
        <w:rPr>
          <w:b/>
          <w:bCs/>
        </w:rPr>
      </w:pPr>
    </w:p>
    <w:p w14:paraId="676773CC" w14:textId="2207C930" w:rsidR="00315B73" w:rsidRDefault="00315B73" w:rsidP="00282F30">
      <w:r w:rsidRPr="00315B73">
        <w:rPr>
          <w:b/>
          <w:bCs/>
        </w:rPr>
        <w:t>Vorhandene Belege</w:t>
      </w:r>
      <w:r w:rsidRPr="00315B73">
        <w:t xml:space="preserve"> (verbleiben bei Ihnen): </w:t>
      </w:r>
    </w:p>
    <w:p w14:paraId="638F5DED" w14:textId="77777777" w:rsidR="00315B73" w:rsidRDefault="00315B73" w:rsidP="00315B73">
      <w:pPr>
        <w:pStyle w:val="Listenabsatz"/>
        <w:numPr>
          <w:ilvl w:val="0"/>
          <w:numId w:val="31"/>
        </w:numPr>
      </w:pPr>
      <w:proofErr w:type="gramStart"/>
      <w:r w:rsidRPr="00315B73">
        <w:t>[ ]</w:t>
      </w:r>
      <w:proofErr w:type="gramEnd"/>
      <w:r w:rsidRPr="00315B73">
        <w:t xml:space="preserve"> Gerichtsbeschlüsse </w:t>
      </w:r>
    </w:p>
    <w:p w14:paraId="0574C67F" w14:textId="77777777" w:rsidR="00315B73" w:rsidRDefault="00315B73" w:rsidP="00315B73">
      <w:pPr>
        <w:pStyle w:val="Listenabsatz"/>
        <w:numPr>
          <w:ilvl w:val="0"/>
          <w:numId w:val="31"/>
        </w:numPr>
      </w:pPr>
      <w:proofErr w:type="gramStart"/>
      <w:r w:rsidRPr="00315B73">
        <w:t>[ ]</w:t>
      </w:r>
      <w:proofErr w:type="gramEnd"/>
      <w:r w:rsidRPr="00315B73">
        <w:t xml:space="preserve"> Protokolle </w:t>
      </w:r>
    </w:p>
    <w:p w14:paraId="5E2C2483" w14:textId="77777777" w:rsidR="00315B73" w:rsidRDefault="00315B73" w:rsidP="00315B73">
      <w:pPr>
        <w:pStyle w:val="Listenabsatz"/>
        <w:numPr>
          <w:ilvl w:val="0"/>
          <w:numId w:val="31"/>
        </w:numPr>
      </w:pPr>
      <w:proofErr w:type="gramStart"/>
      <w:r w:rsidRPr="00315B73">
        <w:t>[ ]</w:t>
      </w:r>
      <w:proofErr w:type="gramEnd"/>
      <w:r w:rsidRPr="00315B73">
        <w:t xml:space="preserve"> Gutachten </w:t>
      </w:r>
    </w:p>
    <w:p w14:paraId="097873F6" w14:textId="77777777" w:rsidR="00315B73" w:rsidRDefault="00315B73" w:rsidP="00315B73">
      <w:pPr>
        <w:pStyle w:val="Listenabsatz"/>
        <w:numPr>
          <w:ilvl w:val="0"/>
          <w:numId w:val="31"/>
        </w:numPr>
      </w:pPr>
      <w:proofErr w:type="gramStart"/>
      <w:r w:rsidRPr="00315B73">
        <w:t>[ ]</w:t>
      </w:r>
      <w:proofErr w:type="gramEnd"/>
      <w:r w:rsidRPr="00315B73">
        <w:t xml:space="preserve"> Atteste/Anzeigen </w:t>
      </w:r>
    </w:p>
    <w:p w14:paraId="4E9069BA" w14:textId="21D52851" w:rsidR="00315B73" w:rsidRDefault="00315B73" w:rsidP="00315B73">
      <w:pPr>
        <w:pStyle w:val="Listenabsatz"/>
        <w:numPr>
          <w:ilvl w:val="0"/>
          <w:numId w:val="31"/>
        </w:numPr>
      </w:pPr>
      <w:proofErr w:type="gramStart"/>
      <w:r w:rsidRPr="00315B73">
        <w:t>[ ]</w:t>
      </w:r>
      <w:proofErr w:type="gramEnd"/>
      <w:r w:rsidRPr="00315B73">
        <w:t xml:space="preserve"> Sonstiges: ___________</w:t>
      </w:r>
    </w:p>
    <w:p w14:paraId="7BED5D78" w14:textId="77777777" w:rsidR="00D746BE" w:rsidRDefault="00D746BE" w:rsidP="003D1E25"/>
    <w:p w14:paraId="579EB238" w14:textId="64390E7A" w:rsidR="003D1E25" w:rsidRPr="003D1E25" w:rsidRDefault="003D1E25" w:rsidP="003D1E25">
      <w:r w:rsidRPr="003D1E25">
        <w:t xml:space="preserve">Da </w:t>
      </w:r>
      <w:r w:rsidRPr="003D1E25">
        <w:rPr>
          <w:i/>
          <w:iCs/>
        </w:rPr>
        <w:t xml:space="preserve">die </w:t>
      </w:r>
      <w:proofErr w:type="spellStart"/>
      <w:r w:rsidRPr="003D1E25">
        <w:rPr>
          <w:i/>
          <w:iCs/>
        </w:rPr>
        <w:t>furien</w:t>
      </w:r>
      <w:proofErr w:type="spellEnd"/>
      <w:r w:rsidRPr="003D1E25">
        <w:t xml:space="preserve"> eine junge Initiative im Aufbau sind, verstehen wir unsere Dokumentationsarbeit als einen dynamischen Prozess und sind auf Ihre wertvolle Mitwirkung angewiesen. Wir laden Sie daher herzlich ein, uns Rückmeldungen zu geben: Welche Aspekte fehlen im Meldeformular oder welche Details sollten für eine lückenlose Erfassung institutioneller Gewalt noch explizit abgefragt werden? Da wir </w:t>
      </w:r>
      <w:r>
        <w:t>unser</w:t>
      </w:r>
      <w:r w:rsidRPr="003D1E25">
        <w:t xml:space="preserve"> </w:t>
      </w:r>
      <w:r>
        <w:t>Melde-I</w:t>
      </w:r>
      <w:r w:rsidRPr="003D1E25">
        <w:t>nstrument laufend optimieren, hilft uns jeder konstruktive Vorschlag dabei, die strukturellen Mängel in Familiengerichts- und Pflegschaftsverfahren noch präziser sichtbar zu machen.</w:t>
      </w:r>
      <w:r w:rsidR="00000000">
        <w:pict w14:anchorId="2A268C7A">
          <v:rect id="_x0000_i1054" style="width:0;height:1.5pt" o:hralign="center" o:hrstd="t" o:hr="t" fillcolor="#a0a0a0" stroked="f"/>
        </w:pict>
      </w:r>
    </w:p>
    <w:p w14:paraId="7E27ED33" w14:textId="77777777" w:rsidR="003D1E25" w:rsidRPr="003D1E25" w:rsidRDefault="00000000" w:rsidP="003D1E25">
      <w:r>
        <w:pict w14:anchorId="23E7F099">
          <v:rect id="_x0000_i1055" style="width:0;height:1.5pt" o:hralign="center" o:hrstd="t" o:hr="t" fillcolor="#a0a0a0" stroked="f"/>
        </w:pict>
      </w:r>
    </w:p>
    <w:p w14:paraId="5CC3BC14" w14:textId="77777777" w:rsidR="003D1E25" w:rsidRPr="003D1E25" w:rsidRDefault="00000000" w:rsidP="003D1E25">
      <w:r>
        <w:pict w14:anchorId="1405F3FA">
          <v:rect id="_x0000_i1056" style="width:0;height:1.5pt" o:hralign="center" o:hrstd="t" o:hr="t" fillcolor="#a0a0a0" stroked="f"/>
        </w:pict>
      </w:r>
    </w:p>
    <w:p w14:paraId="01F40586" w14:textId="77777777" w:rsidR="00980832" w:rsidRDefault="00980832">
      <w:pPr>
        <w:rPr>
          <w:rFonts w:eastAsiaTheme="majorEastAsia" w:cstheme="majorBidi"/>
          <w:color w:val="595959" w:themeColor="text1" w:themeTint="A6"/>
          <w:spacing w:val="15"/>
          <w:sz w:val="28"/>
          <w:szCs w:val="28"/>
        </w:rPr>
      </w:pPr>
      <w:r>
        <w:br w:type="page"/>
      </w:r>
    </w:p>
    <w:p w14:paraId="7A824413" w14:textId="3C50C721" w:rsidR="00282F30" w:rsidRPr="00282F30" w:rsidRDefault="00C611DE" w:rsidP="00C611DE">
      <w:pPr>
        <w:pStyle w:val="Untertitel"/>
      </w:pPr>
      <w:r>
        <w:lastRenderedPageBreak/>
        <w:t xml:space="preserve">6. </w:t>
      </w:r>
      <w:r w:rsidR="00282F30" w:rsidRPr="00282F30">
        <w:t>Abschluss &amp; Übermittlung</w:t>
      </w:r>
    </w:p>
    <w:p w14:paraId="727A8C81" w14:textId="77777777" w:rsidR="00282F30" w:rsidRPr="00282F30" w:rsidRDefault="00282F30" w:rsidP="00282F30">
      <w:pPr>
        <w:rPr>
          <w:i/>
          <w:iCs/>
        </w:rPr>
      </w:pPr>
      <w:r w:rsidRPr="00282F30">
        <w:rPr>
          <w:i/>
          <w:iCs/>
        </w:rPr>
        <w:t>Das System profitiert von Ihrem Schweigen. Ihre Meldung macht das Unsichtbare sichtbar.</w:t>
      </w:r>
    </w:p>
    <w:p w14:paraId="5436AF63" w14:textId="77777777" w:rsidR="00C611DE" w:rsidRPr="00282F30" w:rsidRDefault="00C611DE" w:rsidP="00C611DE">
      <w:pPr>
        <w:numPr>
          <w:ilvl w:val="0"/>
          <w:numId w:val="30"/>
        </w:numPr>
      </w:pPr>
      <w:r w:rsidRPr="00282F30">
        <w:t xml:space="preserve">Anonymisieren Sie </w:t>
      </w:r>
      <w:r>
        <w:t>Ihren und den</w:t>
      </w:r>
      <w:r w:rsidRPr="00282F30">
        <w:t xml:space="preserve"> Namen Ihrer Kinder</w:t>
      </w:r>
      <w:r>
        <w:t xml:space="preserve"> – das gilt auch für optional zusätzlich übermittelte</w:t>
      </w:r>
      <w:r w:rsidRPr="00282F30">
        <w:t xml:space="preserve"> Anhänge.</w:t>
      </w:r>
    </w:p>
    <w:p w14:paraId="04FA0657" w14:textId="77777777" w:rsidR="00E07B76" w:rsidRDefault="00282F30" w:rsidP="00282F30">
      <w:pPr>
        <w:numPr>
          <w:ilvl w:val="0"/>
          <w:numId w:val="30"/>
        </w:numPr>
      </w:pPr>
      <w:r w:rsidRPr="00282F30">
        <w:t xml:space="preserve">Übermitteln Sie </w:t>
      </w:r>
      <w:r w:rsidR="00315B73">
        <w:t>das Dokument</w:t>
      </w:r>
      <w:r w:rsidRPr="00282F30">
        <w:t xml:space="preserve"> via </w:t>
      </w:r>
      <w:proofErr w:type="spellStart"/>
      <w:r w:rsidRPr="00282F30">
        <w:rPr>
          <w:b/>
          <w:bCs/>
        </w:rPr>
        <w:t>SwissTransfer</w:t>
      </w:r>
      <w:proofErr w:type="spellEnd"/>
      <w:r w:rsidRPr="00282F30">
        <w:t xml:space="preserve"> oder </w:t>
      </w:r>
      <w:proofErr w:type="gramStart"/>
      <w:r w:rsidRPr="00282F30">
        <w:rPr>
          <w:b/>
          <w:bCs/>
        </w:rPr>
        <w:t>Proton</w:t>
      </w:r>
      <w:r w:rsidR="00315B73">
        <w:rPr>
          <w:b/>
          <w:bCs/>
        </w:rPr>
        <w:t xml:space="preserve"> </w:t>
      </w:r>
      <w:r w:rsidRPr="00282F30">
        <w:rPr>
          <w:b/>
          <w:bCs/>
        </w:rPr>
        <w:t>Mail</w:t>
      </w:r>
      <w:proofErr w:type="gramEnd"/>
      <w:r w:rsidR="00315B73">
        <w:t xml:space="preserve"> an: </w:t>
      </w:r>
      <w:hyperlink r:id="rId7" w:history="1">
        <w:r w:rsidR="00315B73" w:rsidRPr="00315B73">
          <w:rPr>
            <w:rStyle w:val="Hyperlink"/>
          </w:rPr>
          <w:t>dokumentation@diefurien.org</w:t>
        </w:r>
      </w:hyperlink>
      <w:r w:rsidR="00E07B76">
        <w:t xml:space="preserve"> </w:t>
      </w:r>
    </w:p>
    <w:p w14:paraId="0E2ED6E6" w14:textId="3A686940" w:rsidR="00282F30" w:rsidRPr="00282F30" w:rsidRDefault="00E07B76" w:rsidP="00E07B76">
      <w:pPr>
        <w:ind w:left="720"/>
      </w:pPr>
      <w:r>
        <w:t>[</w:t>
      </w:r>
      <w:r w:rsidRPr="00E07B76">
        <w:rPr>
          <w:b/>
          <w:bCs/>
        </w:rPr>
        <w:t>Tipp für Ihre Anonymität</w:t>
      </w:r>
      <w:r>
        <w:t>: Sofern Sie keine (eigene) Mailadresse angeben können, nennen Sie als Absende-Mailadresse</w:t>
      </w:r>
      <w:r w:rsidR="00D939F7">
        <w:t xml:space="preserve"> eine sog. Wegwerf-Mailadresse, die Sie für den Verifizierungscode auf </w:t>
      </w:r>
      <w:proofErr w:type="spellStart"/>
      <w:r w:rsidR="00D939F7">
        <w:t>SwissTransfer</w:t>
      </w:r>
      <w:proofErr w:type="spellEnd"/>
      <w:r w:rsidR="00D939F7">
        <w:t xml:space="preserve"> nutzen – hier gibt es mehrere Anbieter, empfehlenswert ist beispielsweise </w:t>
      </w:r>
      <w:proofErr w:type="spellStart"/>
      <w:r w:rsidR="00D939F7">
        <w:t>TempMail</w:t>
      </w:r>
      <w:proofErr w:type="spellEnd"/>
      <w:r w:rsidR="00D939F7">
        <w:t xml:space="preserve">: </w:t>
      </w:r>
      <w:hyperlink r:id="rId8" w:history="1">
        <w:r w:rsidR="00D939F7" w:rsidRPr="00EF3141">
          <w:rPr>
            <w:rStyle w:val="Hyperlink"/>
          </w:rPr>
          <w:t>https://temp-mail.org/de</w:t>
        </w:r>
      </w:hyperlink>
      <w:r>
        <w:t>]</w:t>
      </w:r>
    </w:p>
    <w:p w14:paraId="4EB29BBD" w14:textId="77777777" w:rsidR="00C611DE" w:rsidRDefault="00C611DE" w:rsidP="00D746BE">
      <w:pPr>
        <w:numPr>
          <w:ilvl w:val="0"/>
          <w:numId w:val="30"/>
        </w:numPr>
        <w:spacing w:after="0"/>
      </w:pPr>
      <w:r>
        <w:t>Alternativ: P</w:t>
      </w:r>
      <w:r w:rsidR="00315B73" w:rsidRPr="00D1628F">
        <w:t>ostalische Zusendung für maximale Sicherheit</w:t>
      </w:r>
      <w:r w:rsidR="00315B73">
        <w:t xml:space="preserve">: </w:t>
      </w:r>
    </w:p>
    <w:p w14:paraId="5F7EA3BC" w14:textId="6D24E199" w:rsidR="00C611DE" w:rsidRPr="00C611DE" w:rsidRDefault="00315B73" w:rsidP="00D746BE">
      <w:pPr>
        <w:spacing w:after="0" w:line="240" w:lineRule="auto"/>
        <w:ind w:left="720"/>
        <w:rPr>
          <w:i/>
          <w:iCs/>
        </w:rPr>
      </w:pPr>
      <w:r w:rsidRPr="00C611DE">
        <w:rPr>
          <w:i/>
          <w:iCs/>
        </w:rPr>
        <w:t xml:space="preserve">die </w:t>
      </w:r>
      <w:proofErr w:type="spellStart"/>
      <w:r w:rsidRPr="00C611DE">
        <w:rPr>
          <w:i/>
          <w:iCs/>
        </w:rPr>
        <w:t>furien</w:t>
      </w:r>
      <w:proofErr w:type="spellEnd"/>
      <w:r w:rsidRPr="00C611DE">
        <w:rPr>
          <w:i/>
          <w:iCs/>
        </w:rPr>
        <w:t xml:space="preserve"> </w:t>
      </w:r>
    </w:p>
    <w:p w14:paraId="5B05BC61" w14:textId="6409B59F" w:rsidR="00C611DE" w:rsidRDefault="00315B73" w:rsidP="00D746BE">
      <w:pPr>
        <w:spacing w:after="0" w:line="240" w:lineRule="auto"/>
        <w:ind w:left="720"/>
      </w:pPr>
      <w:r>
        <w:t xml:space="preserve">c/o Claudia Sternat, MA </w:t>
      </w:r>
    </w:p>
    <w:p w14:paraId="7E6E4800" w14:textId="77777777" w:rsidR="00C611DE" w:rsidRDefault="00315B73" w:rsidP="00D746BE">
      <w:pPr>
        <w:spacing w:after="0" w:line="240" w:lineRule="auto"/>
        <w:ind w:left="720"/>
      </w:pPr>
      <w:r>
        <w:t xml:space="preserve">Polzergasse 5 </w:t>
      </w:r>
    </w:p>
    <w:p w14:paraId="2932AE0B" w14:textId="24578A25" w:rsidR="00D1628F" w:rsidRPr="00D1628F" w:rsidRDefault="00315B73" w:rsidP="00D746BE">
      <w:pPr>
        <w:spacing w:after="0" w:line="240" w:lineRule="auto"/>
        <w:ind w:left="720"/>
      </w:pPr>
      <w:r>
        <w:t>8010 Graz</w:t>
      </w:r>
      <w:r w:rsidR="00D746BE">
        <w:t>/</w:t>
      </w:r>
      <w:r>
        <w:t>Österreich</w:t>
      </w:r>
    </w:p>
    <w:sectPr w:rsidR="00D1628F" w:rsidRPr="00D1628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A623" w14:textId="77777777" w:rsidR="006A5C1D" w:rsidRDefault="006A5C1D" w:rsidP="00C611DE">
      <w:pPr>
        <w:spacing w:after="0" w:line="240" w:lineRule="auto"/>
      </w:pPr>
      <w:r>
        <w:separator/>
      </w:r>
    </w:p>
  </w:endnote>
  <w:endnote w:type="continuationSeparator" w:id="0">
    <w:p w14:paraId="4CDA139A" w14:textId="77777777" w:rsidR="006A5C1D" w:rsidRDefault="006A5C1D" w:rsidP="00C6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C923" w14:textId="77777777" w:rsidR="00C611DE" w:rsidRDefault="00C611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537989"/>
      <w:docPartObj>
        <w:docPartGallery w:val="Page Numbers (Bottom of Page)"/>
        <w:docPartUnique/>
      </w:docPartObj>
    </w:sdtPr>
    <w:sdtContent>
      <w:p w14:paraId="5561C399" w14:textId="48EB9B0E" w:rsidR="00C611DE" w:rsidRDefault="00C611DE">
        <w:pPr>
          <w:pStyle w:val="Fuzeile"/>
          <w:jc w:val="center"/>
        </w:pPr>
        <w:r>
          <w:fldChar w:fldCharType="begin"/>
        </w:r>
        <w:r>
          <w:instrText>PAGE   \* MERGEFORMAT</w:instrText>
        </w:r>
        <w:r>
          <w:fldChar w:fldCharType="separate"/>
        </w:r>
        <w:r>
          <w:rPr>
            <w:lang w:val="de-DE"/>
          </w:rPr>
          <w:t>2</w:t>
        </w:r>
        <w:r>
          <w:fldChar w:fldCharType="end"/>
        </w:r>
        <w:r>
          <w:t>/</w:t>
        </w:r>
        <w:r w:rsidR="00980832">
          <w:t>6</w:t>
        </w:r>
      </w:p>
    </w:sdtContent>
  </w:sdt>
  <w:p w14:paraId="0979BE24" w14:textId="77777777" w:rsidR="00C611DE" w:rsidRDefault="00C611D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97C9" w14:textId="77777777" w:rsidR="00C611DE" w:rsidRDefault="00C611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BA6F" w14:textId="77777777" w:rsidR="006A5C1D" w:rsidRDefault="006A5C1D" w:rsidP="00C611DE">
      <w:pPr>
        <w:spacing w:after="0" w:line="240" w:lineRule="auto"/>
      </w:pPr>
      <w:r>
        <w:separator/>
      </w:r>
    </w:p>
  </w:footnote>
  <w:footnote w:type="continuationSeparator" w:id="0">
    <w:p w14:paraId="7C94DB0F" w14:textId="77777777" w:rsidR="006A5C1D" w:rsidRDefault="006A5C1D" w:rsidP="00C61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125A" w14:textId="77777777" w:rsidR="00C611DE" w:rsidRDefault="00C611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0D6A" w14:textId="77777777" w:rsidR="00C611DE" w:rsidRDefault="00C611D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B17E" w14:textId="77777777" w:rsidR="00C611DE" w:rsidRDefault="00C611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7" style="width:0;height:1.5pt" o:hralign="center" o:bullet="t" o:hrstd="t" o:hr="t" fillcolor="#a0a0a0" stroked="f"/>
    </w:pict>
  </w:numPicBullet>
  <w:abstractNum w:abstractNumId="0" w15:restartNumberingAfterBreak="0">
    <w:nsid w:val="003A67D3"/>
    <w:multiLevelType w:val="multilevel"/>
    <w:tmpl w:val="906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C77EA"/>
    <w:multiLevelType w:val="multilevel"/>
    <w:tmpl w:val="1CB6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57AB7"/>
    <w:multiLevelType w:val="multilevel"/>
    <w:tmpl w:val="381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D761A"/>
    <w:multiLevelType w:val="multilevel"/>
    <w:tmpl w:val="137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9399B"/>
    <w:multiLevelType w:val="multilevel"/>
    <w:tmpl w:val="414C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66A7B"/>
    <w:multiLevelType w:val="multilevel"/>
    <w:tmpl w:val="DA70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C203A"/>
    <w:multiLevelType w:val="multilevel"/>
    <w:tmpl w:val="282E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D6574"/>
    <w:multiLevelType w:val="hybridMultilevel"/>
    <w:tmpl w:val="6D8AA8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40D67A1"/>
    <w:multiLevelType w:val="multilevel"/>
    <w:tmpl w:val="DA70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31C3C"/>
    <w:multiLevelType w:val="multilevel"/>
    <w:tmpl w:val="DA70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31D37"/>
    <w:multiLevelType w:val="multilevel"/>
    <w:tmpl w:val="F558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33309"/>
    <w:multiLevelType w:val="multilevel"/>
    <w:tmpl w:val="21AC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723F2"/>
    <w:multiLevelType w:val="multilevel"/>
    <w:tmpl w:val="5FE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C7862"/>
    <w:multiLevelType w:val="multilevel"/>
    <w:tmpl w:val="4998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F807E3"/>
    <w:multiLevelType w:val="multilevel"/>
    <w:tmpl w:val="DA70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43B7A"/>
    <w:multiLevelType w:val="multilevel"/>
    <w:tmpl w:val="CB56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33918"/>
    <w:multiLevelType w:val="multilevel"/>
    <w:tmpl w:val="3ED2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990276"/>
    <w:multiLevelType w:val="multilevel"/>
    <w:tmpl w:val="1054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B0865"/>
    <w:multiLevelType w:val="multilevel"/>
    <w:tmpl w:val="60C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93860"/>
    <w:multiLevelType w:val="multilevel"/>
    <w:tmpl w:val="F9086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B0786E"/>
    <w:multiLevelType w:val="multilevel"/>
    <w:tmpl w:val="D0BC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F4255"/>
    <w:multiLevelType w:val="multilevel"/>
    <w:tmpl w:val="E8CE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60026"/>
    <w:multiLevelType w:val="multilevel"/>
    <w:tmpl w:val="DAB4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D48D2"/>
    <w:multiLevelType w:val="multilevel"/>
    <w:tmpl w:val="D312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650C9"/>
    <w:multiLevelType w:val="multilevel"/>
    <w:tmpl w:val="DF06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C76452"/>
    <w:multiLevelType w:val="multilevel"/>
    <w:tmpl w:val="D190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3382D"/>
    <w:multiLevelType w:val="multilevel"/>
    <w:tmpl w:val="8F20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02EBC"/>
    <w:multiLevelType w:val="multilevel"/>
    <w:tmpl w:val="42CA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0C4A31"/>
    <w:multiLevelType w:val="multilevel"/>
    <w:tmpl w:val="DA70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64084A"/>
    <w:multiLevelType w:val="multilevel"/>
    <w:tmpl w:val="7F0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639B5"/>
    <w:multiLevelType w:val="multilevel"/>
    <w:tmpl w:val="4D72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187197">
    <w:abstractNumId w:val="30"/>
  </w:num>
  <w:num w:numId="2" w16cid:durableId="1829126479">
    <w:abstractNumId w:val="23"/>
  </w:num>
  <w:num w:numId="3" w16cid:durableId="2137866842">
    <w:abstractNumId w:val="15"/>
  </w:num>
  <w:num w:numId="4" w16cid:durableId="166752815">
    <w:abstractNumId w:val="16"/>
  </w:num>
  <w:num w:numId="5" w16cid:durableId="951715961">
    <w:abstractNumId w:val="20"/>
  </w:num>
  <w:num w:numId="6" w16cid:durableId="1182159367">
    <w:abstractNumId w:val="17"/>
  </w:num>
  <w:num w:numId="7" w16cid:durableId="622999420">
    <w:abstractNumId w:val="4"/>
  </w:num>
  <w:num w:numId="8" w16cid:durableId="1254895007">
    <w:abstractNumId w:val="18"/>
  </w:num>
  <w:num w:numId="9" w16cid:durableId="891310840">
    <w:abstractNumId w:val="26"/>
  </w:num>
  <w:num w:numId="10" w16cid:durableId="234173656">
    <w:abstractNumId w:val="6"/>
  </w:num>
  <w:num w:numId="11" w16cid:durableId="400491037">
    <w:abstractNumId w:val="3"/>
  </w:num>
  <w:num w:numId="12" w16cid:durableId="1881354389">
    <w:abstractNumId w:val="21"/>
  </w:num>
  <w:num w:numId="13" w16cid:durableId="1648440507">
    <w:abstractNumId w:val="29"/>
  </w:num>
  <w:num w:numId="14" w16cid:durableId="631254239">
    <w:abstractNumId w:val="11"/>
  </w:num>
  <w:num w:numId="15" w16cid:durableId="1858230691">
    <w:abstractNumId w:val="10"/>
  </w:num>
  <w:num w:numId="16" w16cid:durableId="685210442">
    <w:abstractNumId w:val="7"/>
  </w:num>
  <w:num w:numId="17" w16cid:durableId="1244802402">
    <w:abstractNumId w:val="13"/>
  </w:num>
  <w:num w:numId="18" w16cid:durableId="1979727114">
    <w:abstractNumId w:val="22"/>
  </w:num>
  <w:num w:numId="19" w16cid:durableId="1277056798">
    <w:abstractNumId w:val="25"/>
  </w:num>
  <w:num w:numId="20" w16cid:durableId="558517270">
    <w:abstractNumId w:val="2"/>
  </w:num>
  <w:num w:numId="21" w16cid:durableId="878513416">
    <w:abstractNumId w:val="24"/>
  </w:num>
  <w:num w:numId="22" w16cid:durableId="399208122">
    <w:abstractNumId w:val="0"/>
  </w:num>
  <w:num w:numId="23" w16cid:durableId="253589228">
    <w:abstractNumId w:val="12"/>
  </w:num>
  <w:num w:numId="24" w16cid:durableId="289675061">
    <w:abstractNumId w:val="1"/>
  </w:num>
  <w:num w:numId="25" w16cid:durableId="531653773">
    <w:abstractNumId w:val="9"/>
  </w:num>
  <w:num w:numId="26" w16cid:durableId="1983850636">
    <w:abstractNumId w:val="19"/>
  </w:num>
  <w:num w:numId="27" w16cid:durableId="257178594">
    <w:abstractNumId w:val="28"/>
  </w:num>
  <w:num w:numId="28" w16cid:durableId="1333030028">
    <w:abstractNumId w:val="14"/>
  </w:num>
  <w:num w:numId="29" w16cid:durableId="1163398530">
    <w:abstractNumId w:val="5"/>
  </w:num>
  <w:num w:numId="30" w16cid:durableId="684944717">
    <w:abstractNumId w:val="27"/>
  </w:num>
  <w:num w:numId="31" w16cid:durableId="427889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2B"/>
    <w:rsid w:val="000204C5"/>
    <w:rsid w:val="00023B09"/>
    <w:rsid w:val="000A54EB"/>
    <w:rsid w:val="001414FE"/>
    <w:rsid w:val="001721EE"/>
    <w:rsid w:val="0017349B"/>
    <w:rsid w:val="00282F30"/>
    <w:rsid w:val="002E6662"/>
    <w:rsid w:val="00302D20"/>
    <w:rsid w:val="00315B73"/>
    <w:rsid w:val="003856ED"/>
    <w:rsid w:val="003D1E25"/>
    <w:rsid w:val="005702F9"/>
    <w:rsid w:val="0058627B"/>
    <w:rsid w:val="005978A2"/>
    <w:rsid w:val="005A2936"/>
    <w:rsid w:val="006A5C1D"/>
    <w:rsid w:val="006F362E"/>
    <w:rsid w:val="00817400"/>
    <w:rsid w:val="008F5B58"/>
    <w:rsid w:val="00957B63"/>
    <w:rsid w:val="00980832"/>
    <w:rsid w:val="009E32AA"/>
    <w:rsid w:val="00A3746B"/>
    <w:rsid w:val="00AB4570"/>
    <w:rsid w:val="00AC2A2C"/>
    <w:rsid w:val="00AD18A9"/>
    <w:rsid w:val="00B53720"/>
    <w:rsid w:val="00C2192B"/>
    <w:rsid w:val="00C55C5A"/>
    <w:rsid w:val="00C611DE"/>
    <w:rsid w:val="00D1628F"/>
    <w:rsid w:val="00D52B09"/>
    <w:rsid w:val="00D746BE"/>
    <w:rsid w:val="00D939F7"/>
    <w:rsid w:val="00E07B76"/>
    <w:rsid w:val="00F30B35"/>
    <w:rsid w:val="00F312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6031"/>
  <w15:chartTrackingRefBased/>
  <w15:docId w15:val="{A7DB059A-79C0-45AB-9034-9B5A1C05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1E25"/>
  </w:style>
  <w:style w:type="paragraph" w:styleId="berschrift1">
    <w:name w:val="heading 1"/>
    <w:basedOn w:val="Standard"/>
    <w:next w:val="Standard"/>
    <w:link w:val="berschrift1Zchn"/>
    <w:uiPriority w:val="9"/>
    <w:qFormat/>
    <w:rsid w:val="00C219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219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2192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2192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2192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219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19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19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19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192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2192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2192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2192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2192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219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19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19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192B"/>
    <w:rPr>
      <w:rFonts w:eastAsiaTheme="majorEastAsia" w:cstheme="majorBidi"/>
      <w:color w:val="272727" w:themeColor="text1" w:themeTint="D8"/>
    </w:rPr>
  </w:style>
  <w:style w:type="paragraph" w:styleId="Titel">
    <w:name w:val="Title"/>
    <w:basedOn w:val="Standard"/>
    <w:next w:val="Standard"/>
    <w:link w:val="TitelZchn"/>
    <w:uiPriority w:val="10"/>
    <w:qFormat/>
    <w:rsid w:val="00C21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19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19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19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19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192B"/>
    <w:rPr>
      <w:i/>
      <w:iCs/>
      <w:color w:val="404040" w:themeColor="text1" w:themeTint="BF"/>
    </w:rPr>
  </w:style>
  <w:style w:type="paragraph" w:styleId="Listenabsatz">
    <w:name w:val="List Paragraph"/>
    <w:basedOn w:val="Standard"/>
    <w:uiPriority w:val="34"/>
    <w:qFormat/>
    <w:rsid w:val="00C2192B"/>
    <w:pPr>
      <w:ind w:left="720"/>
      <w:contextualSpacing/>
    </w:pPr>
  </w:style>
  <w:style w:type="character" w:styleId="IntensiveHervorhebung">
    <w:name w:val="Intense Emphasis"/>
    <w:basedOn w:val="Absatz-Standardschriftart"/>
    <w:uiPriority w:val="21"/>
    <w:qFormat/>
    <w:rsid w:val="00C2192B"/>
    <w:rPr>
      <w:i/>
      <w:iCs/>
      <w:color w:val="2F5496" w:themeColor="accent1" w:themeShade="BF"/>
    </w:rPr>
  </w:style>
  <w:style w:type="paragraph" w:styleId="IntensivesZitat">
    <w:name w:val="Intense Quote"/>
    <w:basedOn w:val="Standard"/>
    <w:next w:val="Standard"/>
    <w:link w:val="IntensivesZitatZchn"/>
    <w:uiPriority w:val="30"/>
    <w:qFormat/>
    <w:rsid w:val="00C21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2192B"/>
    <w:rPr>
      <w:i/>
      <w:iCs/>
      <w:color w:val="2F5496" w:themeColor="accent1" w:themeShade="BF"/>
    </w:rPr>
  </w:style>
  <w:style w:type="character" w:styleId="IntensiverVerweis">
    <w:name w:val="Intense Reference"/>
    <w:basedOn w:val="Absatz-Standardschriftart"/>
    <w:uiPriority w:val="32"/>
    <w:qFormat/>
    <w:rsid w:val="00C2192B"/>
    <w:rPr>
      <w:b/>
      <w:bCs/>
      <w:smallCaps/>
      <w:color w:val="2F5496" w:themeColor="accent1" w:themeShade="BF"/>
      <w:spacing w:val="5"/>
    </w:rPr>
  </w:style>
  <w:style w:type="character" w:styleId="Hervorhebung">
    <w:name w:val="Emphasis"/>
    <w:basedOn w:val="Absatz-Standardschriftart"/>
    <w:uiPriority w:val="20"/>
    <w:qFormat/>
    <w:rsid w:val="005A2936"/>
    <w:rPr>
      <w:i/>
      <w:iCs/>
    </w:rPr>
  </w:style>
  <w:style w:type="character" w:styleId="Hyperlink">
    <w:name w:val="Hyperlink"/>
    <w:basedOn w:val="Absatz-Standardschriftart"/>
    <w:uiPriority w:val="99"/>
    <w:unhideWhenUsed/>
    <w:rsid w:val="00315B73"/>
    <w:rPr>
      <w:color w:val="0563C1" w:themeColor="hyperlink"/>
      <w:u w:val="single"/>
    </w:rPr>
  </w:style>
  <w:style w:type="character" w:styleId="NichtaufgelsteErwhnung">
    <w:name w:val="Unresolved Mention"/>
    <w:basedOn w:val="Absatz-Standardschriftart"/>
    <w:uiPriority w:val="99"/>
    <w:semiHidden/>
    <w:unhideWhenUsed/>
    <w:rsid w:val="00315B73"/>
    <w:rPr>
      <w:color w:val="605E5C"/>
      <w:shd w:val="clear" w:color="auto" w:fill="E1DFDD"/>
    </w:rPr>
  </w:style>
  <w:style w:type="paragraph" w:styleId="Kopfzeile">
    <w:name w:val="header"/>
    <w:basedOn w:val="Standard"/>
    <w:link w:val="KopfzeileZchn"/>
    <w:uiPriority w:val="99"/>
    <w:unhideWhenUsed/>
    <w:rsid w:val="00C611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11DE"/>
  </w:style>
  <w:style w:type="paragraph" w:styleId="Fuzeile">
    <w:name w:val="footer"/>
    <w:basedOn w:val="Standard"/>
    <w:link w:val="FuzeileZchn"/>
    <w:uiPriority w:val="99"/>
    <w:unhideWhenUsed/>
    <w:rsid w:val="00C611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p-mail.org/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okumentation@diefurien.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9534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 furien</dc:creator>
  <cp:keywords/>
  <dc:description/>
  <cp:lastModifiedBy>Text Textariat</cp:lastModifiedBy>
  <cp:revision>3</cp:revision>
  <cp:lastPrinted>2025-12-25T20:12:00Z</cp:lastPrinted>
  <dcterms:created xsi:type="dcterms:W3CDTF">2025-12-25T20:12:00Z</dcterms:created>
  <dcterms:modified xsi:type="dcterms:W3CDTF">2025-12-25T21:42:00Z</dcterms:modified>
</cp:coreProperties>
</file>